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DB0" w:rsidRDefault="00C769D0">
      <w:pPr>
        <w:kinsoku w:val="0"/>
        <w:overflowPunct w:val="0"/>
        <w:autoSpaceDE/>
        <w:autoSpaceDN/>
        <w:adjustRightInd/>
        <w:spacing w:line="261" w:lineRule="exact"/>
        <w:ind w:left="72"/>
        <w:jc w:val="center"/>
        <w:textAlignment w:val="baseline"/>
        <w:rPr>
          <w:rFonts w:ascii="Verdana" w:hAnsi="Verdana" w:cs="Verdana"/>
          <w:b/>
          <w:bCs/>
          <w:spacing w:val="2"/>
          <w:sz w:val="22"/>
          <w:szCs w:val="22"/>
          <w:lang w:val="es-ES" w:eastAsia="es-ES"/>
        </w:rPr>
      </w:pPr>
      <w:bookmarkStart w:id="0" w:name="_GoBack"/>
      <w:bookmarkEnd w:id="0"/>
      <w:r>
        <w:rPr>
          <w:rFonts w:ascii="Verdana" w:hAnsi="Verdana" w:cs="Verdana"/>
          <w:b/>
          <w:bCs/>
          <w:spacing w:val="2"/>
          <w:sz w:val="22"/>
          <w:szCs w:val="22"/>
          <w:lang w:val="es-ES" w:eastAsia="es-ES"/>
        </w:rPr>
        <w:t>RESOLUCION No. TAT-2515-2015</w:t>
      </w:r>
    </w:p>
    <w:p w:rsidR="00B42DB0" w:rsidRDefault="00C769D0">
      <w:pPr>
        <w:kinsoku w:val="0"/>
        <w:overflowPunct w:val="0"/>
        <w:autoSpaceDE/>
        <w:autoSpaceDN/>
        <w:adjustRightInd/>
        <w:spacing w:before="572" w:line="278"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cuarenta y ocho minutos del veintisiete de marzo de dos mil quince.</w:t>
      </w:r>
    </w:p>
    <w:p w:rsidR="00B42DB0" w:rsidRDefault="00C769D0">
      <w:pPr>
        <w:kinsoku w:val="0"/>
        <w:overflowPunct w:val="0"/>
        <w:autoSpaceDE/>
        <w:autoSpaceDN/>
        <w:adjustRightInd/>
        <w:spacing w:before="252" w:line="278" w:lineRule="exact"/>
        <w:ind w:lef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presentado por </w:t>
      </w:r>
      <w:r>
        <w:rPr>
          <w:rFonts w:ascii="Verdana" w:hAnsi="Verdana" w:cs="Verdana"/>
          <w:b/>
          <w:bCs/>
          <w:sz w:val="22"/>
          <w:szCs w:val="22"/>
          <w:lang w:val="es-ES" w:eastAsia="es-ES"/>
        </w:rPr>
        <w:t xml:space="preserve">la </w:t>
      </w:r>
      <w:r>
        <w:rPr>
          <w:rFonts w:ascii="Verdana" w:hAnsi="Verdana" w:cs="Verdana"/>
          <w:sz w:val="22"/>
          <w:szCs w:val="22"/>
          <w:lang w:val="es-ES" w:eastAsia="es-ES"/>
        </w:rPr>
        <w:t xml:space="preserve">empresa </w:t>
      </w:r>
      <w:r>
        <w:rPr>
          <w:rFonts w:ascii="Verdana" w:hAnsi="Verdana" w:cs="Verdana"/>
          <w:b/>
          <w:bCs/>
          <w:sz w:val="22"/>
          <w:szCs w:val="22"/>
          <w:lang w:val="es-ES" w:eastAsia="es-ES"/>
        </w:rPr>
        <w:t>T</w:t>
      </w:r>
      <w:r w:rsidR="00D37D59">
        <w:rPr>
          <w:rFonts w:ascii="Verdana" w:hAnsi="Verdana" w:cs="Verdana"/>
          <w:b/>
          <w:bCs/>
          <w:sz w:val="22"/>
          <w:szCs w:val="22"/>
          <w:lang w:val="es-ES" w:eastAsia="es-ES"/>
        </w:rPr>
        <w:t>.B.S.A.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jurídica número </w:t>
      </w:r>
      <w:r w:rsidR="00D37D59">
        <w:rPr>
          <w:rFonts w:ascii="Verdana" w:hAnsi="Verdana" w:cs="Verdana"/>
          <w:sz w:val="22"/>
          <w:szCs w:val="22"/>
          <w:lang w:val="es-ES" w:eastAsia="es-ES"/>
        </w:rPr>
        <w:t>…</w:t>
      </w:r>
      <w:r>
        <w:rPr>
          <w:rFonts w:ascii="Verdana" w:hAnsi="Verdana" w:cs="Verdana"/>
          <w:sz w:val="22"/>
          <w:szCs w:val="22"/>
          <w:lang w:val="es-ES" w:eastAsia="es-ES"/>
        </w:rPr>
        <w:t xml:space="preserve">, por medio de sus representantes, señor </w:t>
      </w:r>
      <w:r>
        <w:rPr>
          <w:rFonts w:ascii="Verdana" w:hAnsi="Verdana" w:cs="Verdana"/>
          <w:b/>
          <w:bCs/>
          <w:sz w:val="22"/>
          <w:szCs w:val="22"/>
          <w:lang w:val="es-ES" w:eastAsia="es-ES"/>
        </w:rPr>
        <w:t>C</w:t>
      </w:r>
      <w:r w:rsidR="00D37D59">
        <w:rPr>
          <w:rFonts w:ascii="Verdana" w:hAnsi="Verdana" w:cs="Verdana"/>
          <w:b/>
          <w:bCs/>
          <w:sz w:val="22"/>
          <w:szCs w:val="22"/>
          <w:lang w:val="es-ES" w:eastAsia="es-ES"/>
        </w:rPr>
        <w:t>.L.S.</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D37D59">
        <w:rPr>
          <w:rFonts w:ascii="Verdana" w:hAnsi="Verdana" w:cs="Verdana"/>
          <w:sz w:val="22"/>
          <w:szCs w:val="22"/>
          <w:lang w:val="es-ES" w:eastAsia="es-ES"/>
        </w:rPr>
        <w:t>…</w:t>
      </w:r>
      <w:r>
        <w:rPr>
          <w:rFonts w:ascii="Verdana" w:hAnsi="Verdana" w:cs="Verdana"/>
          <w:sz w:val="22"/>
          <w:szCs w:val="22"/>
          <w:lang w:val="es-ES" w:eastAsia="es-ES"/>
        </w:rPr>
        <w:t xml:space="preserve"> y la señora </w:t>
      </w:r>
      <w:r>
        <w:rPr>
          <w:rFonts w:ascii="Verdana" w:hAnsi="Verdana" w:cs="Verdana"/>
          <w:b/>
          <w:bCs/>
          <w:sz w:val="22"/>
          <w:szCs w:val="22"/>
          <w:lang w:val="es-ES" w:eastAsia="es-ES"/>
        </w:rPr>
        <w:t>M</w:t>
      </w:r>
      <w:r w:rsidR="00D37D59">
        <w:rPr>
          <w:rFonts w:ascii="Verdana" w:hAnsi="Verdana" w:cs="Verdana"/>
          <w:b/>
          <w:bCs/>
          <w:sz w:val="22"/>
          <w:szCs w:val="22"/>
          <w:lang w:val="es-ES" w:eastAsia="es-ES"/>
        </w:rPr>
        <w:t>.S.U.</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cedula de identidad número </w:t>
      </w:r>
      <w:r w:rsidR="00D37D59">
        <w:rPr>
          <w:rFonts w:ascii="Verdana" w:hAnsi="Verdana" w:cs="Verdana"/>
          <w:sz w:val="22"/>
          <w:szCs w:val="22"/>
          <w:lang w:val="es-ES" w:eastAsia="es-ES"/>
        </w:rPr>
        <w:t>…</w:t>
      </w:r>
      <w:r>
        <w:rPr>
          <w:rFonts w:ascii="Verdana" w:hAnsi="Verdana" w:cs="Verdana"/>
          <w:sz w:val="22"/>
          <w:szCs w:val="22"/>
          <w:lang w:val="es-ES" w:eastAsia="es-ES"/>
        </w:rPr>
        <w:t xml:space="preserve">, ambos en condición de Apoderados Generalísimos sin Límite de Suma, contra el acto dictado por la Junta Directiva del Consejo de Transporte Público, mediante Artículo Número </w:t>
      </w:r>
      <w:r>
        <w:rPr>
          <w:rFonts w:ascii="Verdana" w:hAnsi="Verdana" w:cs="Verdana"/>
          <w:b/>
          <w:bCs/>
          <w:sz w:val="22"/>
          <w:szCs w:val="22"/>
          <w:lang w:val="es-ES" w:eastAsia="es-ES"/>
        </w:rPr>
        <w:t xml:space="preserve">5.3 de la Sesión Ordinaria número 28-2014, </w:t>
      </w:r>
      <w:r>
        <w:rPr>
          <w:rFonts w:ascii="Verdana" w:hAnsi="Verdana" w:cs="Verdana"/>
          <w:sz w:val="22"/>
          <w:szCs w:val="22"/>
          <w:lang w:val="es-ES" w:eastAsia="es-ES"/>
        </w:rPr>
        <w:t xml:space="preserve">celebrada el 10 de abril de 2014 y tramitado en este Despacho bajo </w:t>
      </w:r>
      <w:r>
        <w:rPr>
          <w:rFonts w:ascii="Verdana" w:hAnsi="Verdana" w:cs="Verdana"/>
          <w:b/>
          <w:bCs/>
          <w:sz w:val="22"/>
          <w:szCs w:val="22"/>
          <w:lang w:val="es-ES" w:eastAsia="es-ES"/>
        </w:rPr>
        <w:t>Expediente Administrativo No. TAT-194-14.</w:t>
      </w:r>
    </w:p>
    <w:p w:rsidR="00B42DB0" w:rsidRDefault="00C769D0">
      <w:pPr>
        <w:kinsoku w:val="0"/>
        <w:overflowPunct w:val="0"/>
        <w:autoSpaceDE/>
        <w:autoSpaceDN/>
        <w:adjustRightInd/>
        <w:spacing w:before="573" w:line="261"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B42DB0" w:rsidRDefault="00C769D0">
      <w:pPr>
        <w:kinsoku w:val="0"/>
        <w:overflowPunct w:val="0"/>
        <w:autoSpaceDE/>
        <w:autoSpaceDN/>
        <w:adjustRightInd/>
        <w:spacing w:before="8" w:line="278" w:lineRule="exact"/>
        <w:ind w:left="72"/>
        <w:textAlignment w:val="baseline"/>
        <w:rPr>
          <w:rFonts w:ascii="Verdana" w:hAnsi="Verdana" w:cs="Verdana"/>
          <w:sz w:val="24"/>
          <w:szCs w:val="24"/>
          <w:lang w:eastAsia="en-US"/>
        </w:rPr>
      </w:pPr>
      <w:r>
        <w:rPr>
          <w:rFonts w:ascii="Verdana" w:hAnsi="Verdana" w:cs="Verdana"/>
          <w:spacing w:val="12"/>
          <w:sz w:val="22"/>
          <w:szCs w:val="22"/>
          <w:lang w:val="es-ES" w:eastAsia="es-ES"/>
        </w:rPr>
        <w:t>Mediante Artículo Número 5.3 de la Sesión Ordinaria número 28</w:t>
      </w:r>
      <w:r>
        <w:rPr>
          <w:rFonts w:ascii="Verdana" w:hAnsi="Verdana" w:cs="Verdana"/>
          <w:spacing w:val="12"/>
          <w:sz w:val="22"/>
          <w:szCs w:val="22"/>
          <w:lang w:val="es-ES" w:eastAsia="es-ES"/>
        </w:rPr>
        <w:noBreakHyphen/>
      </w:r>
    </w:p>
    <w:p w:rsidR="00B42DB0" w:rsidRDefault="00C769D0">
      <w:pPr>
        <w:kinsoku w:val="0"/>
        <w:overflowPunct w:val="0"/>
        <w:autoSpaceDE/>
        <w:autoSpaceDN/>
        <w:adjustRightInd/>
        <w:spacing w:line="278" w:lineRule="exact"/>
        <w:ind w:left="72"/>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2014, celebrada el 10 de abril de </w:t>
      </w:r>
      <w:proofErr w:type="gramStart"/>
      <w:r>
        <w:rPr>
          <w:rFonts w:ascii="Verdana" w:hAnsi="Verdana" w:cs="Verdana"/>
          <w:spacing w:val="2"/>
          <w:sz w:val="22"/>
          <w:szCs w:val="22"/>
          <w:lang w:val="es-ES" w:eastAsia="es-ES"/>
        </w:rPr>
        <w:t>2014 ,</w:t>
      </w:r>
      <w:proofErr w:type="gramEnd"/>
      <w:r>
        <w:rPr>
          <w:rFonts w:ascii="Verdana" w:hAnsi="Verdana" w:cs="Verdana"/>
          <w:spacing w:val="2"/>
          <w:sz w:val="22"/>
          <w:szCs w:val="22"/>
          <w:lang w:val="es-ES" w:eastAsia="es-ES"/>
        </w:rPr>
        <w:t xml:space="preserve"> </w:t>
      </w:r>
      <w:r>
        <w:rPr>
          <w:rFonts w:ascii="Verdana" w:hAnsi="Verdana" w:cs="Verdana"/>
          <w:b/>
          <w:bCs/>
          <w:spacing w:val="2"/>
          <w:sz w:val="22"/>
          <w:szCs w:val="22"/>
          <w:lang w:val="es-ES" w:eastAsia="es-ES"/>
        </w:rPr>
        <w:t>LA JUNTA DIRECTIVA DEL</w:t>
      </w:r>
    </w:p>
    <w:p w:rsidR="00B42DB0" w:rsidRDefault="00C769D0">
      <w:pPr>
        <w:tabs>
          <w:tab w:val="right" w:pos="8136"/>
        </w:tabs>
        <w:kinsoku w:val="0"/>
        <w:overflowPunct w:val="0"/>
        <w:autoSpaceDE/>
        <w:autoSpaceDN/>
        <w:adjustRightInd/>
        <w:spacing w:line="277" w:lineRule="exact"/>
        <w:ind w:lef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CONSEJO DE TRANSPORTE PÚBLICO,</w:t>
      </w:r>
      <w:r>
        <w:rPr>
          <w:rFonts w:ascii="Verdana" w:hAnsi="Verdana" w:cs="Verdana"/>
          <w:b/>
          <w:bCs/>
          <w:spacing w:val="4"/>
          <w:sz w:val="22"/>
          <w:szCs w:val="22"/>
          <w:lang w:val="es-ES" w:eastAsia="es-ES"/>
        </w:rPr>
        <w:tab/>
      </w:r>
      <w:r>
        <w:rPr>
          <w:rFonts w:ascii="Verdana" w:hAnsi="Verdana" w:cs="Verdana"/>
          <w:spacing w:val="4"/>
          <w:sz w:val="22"/>
          <w:szCs w:val="22"/>
          <w:lang w:val="es-ES" w:eastAsia="es-ES"/>
        </w:rPr>
        <w:t>determina acoger las</w:t>
      </w:r>
      <w:r>
        <w:rPr>
          <w:rFonts w:ascii="Verdana" w:hAnsi="Verdana" w:cs="Verdana"/>
          <w:spacing w:val="4"/>
          <w:sz w:val="22"/>
          <w:szCs w:val="22"/>
          <w:lang w:val="es-ES" w:eastAsia="es-ES"/>
        </w:rPr>
        <w:br/>
        <w:t>recomendaciones contenidas en los oficios DAJ-061915, DAJ-06-1732 ambos de la Dirección de Asuntos Jurídicos los cuales tienen referencia con los oficios DACP 05-1460 del Departamento de Administración de Concesiones y Permisos y oficio DIC- 06-689 del Departamento de Inspección y Control y en su parte dispositiva acuerda lo siguiente. (Véase folios 39 al 41 del expediente administrativo)</w:t>
      </w:r>
    </w:p>
    <w:p w:rsidR="00B42DB0" w:rsidRDefault="00C769D0">
      <w:pPr>
        <w:kinsoku w:val="0"/>
        <w:overflowPunct w:val="0"/>
        <w:autoSpaceDE/>
        <w:autoSpaceDN/>
        <w:adjustRightInd/>
        <w:spacing w:before="547" w:line="185" w:lineRule="exact"/>
        <w:ind w:left="432" w:right="36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 xml:space="preserve">"ARTICULO 5.3.- </w:t>
      </w:r>
      <w:r>
        <w:rPr>
          <w:rFonts w:ascii="Verdana" w:hAnsi="Verdana" w:cs="Verdana"/>
          <w:i/>
          <w:iCs/>
          <w:sz w:val="15"/>
          <w:szCs w:val="15"/>
          <w:lang w:val="es-ES" w:eastAsia="es-ES"/>
        </w:rPr>
        <w:t xml:space="preserve">Oficio </w:t>
      </w:r>
      <w:r>
        <w:rPr>
          <w:rFonts w:ascii="Verdana" w:hAnsi="Verdana" w:cs="Verdana"/>
          <w:b/>
          <w:bCs/>
          <w:i/>
          <w:iCs/>
          <w:sz w:val="15"/>
          <w:szCs w:val="15"/>
          <w:lang w:val="es-ES" w:eastAsia="es-ES"/>
        </w:rPr>
        <w:t xml:space="preserve">DA) 2014-001492, </w:t>
      </w:r>
      <w:r>
        <w:rPr>
          <w:rFonts w:ascii="Verdana" w:hAnsi="Verdana" w:cs="Verdana"/>
          <w:i/>
          <w:iCs/>
          <w:sz w:val="15"/>
          <w:szCs w:val="15"/>
          <w:lang w:val="es-ES" w:eastAsia="es-ES"/>
        </w:rPr>
        <w:t xml:space="preserve">referente a cancelación del permiso de operación de la ruta San José Changuinola (Panamá). </w:t>
      </w:r>
      <w:r>
        <w:rPr>
          <w:rFonts w:ascii="Verdana" w:hAnsi="Verdana" w:cs="Verdana"/>
          <w:b/>
          <w:bCs/>
          <w:i/>
          <w:iCs/>
          <w:sz w:val="15"/>
          <w:szCs w:val="15"/>
          <w:lang w:val="es-ES" w:eastAsia="es-ES"/>
        </w:rPr>
        <w:t>(DE 2014-1398)</w:t>
      </w:r>
    </w:p>
    <w:p w:rsidR="00B42DB0" w:rsidRDefault="00D37D59">
      <w:pPr>
        <w:kinsoku w:val="0"/>
        <w:overflowPunct w:val="0"/>
        <w:autoSpaceDE/>
        <w:autoSpaceDN/>
        <w:adjustRightInd/>
        <w:spacing w:before="406" w:line="180" w:lineRule="exact"/>
        <w:ind w:left="432"/>
        <w:textAlignment w:val="baseline"/>
        <w:rPr>
          <w:rFonts w:ascii="Verdana" w:hAnsi="Verdana" w:cs="Verdana"/>
          <w:b/>
          <w:bCs/>
          <w:i/>
          <w:iCs/>
          <w:spacing w:val="-2"/>
          <w:sz w:val="15"/>
          <w:szCs w:val="15"/>
          <w:lang w:val="es-ES" w:eastAsia="es-ES"/>
        </w:rPr>
      </w:pPr>
      <w:r>
        <w:rPr>
          <w:rFonts w:ascii="Verdana" w:hAnsi="Verdana" w:cs="Verdana"/>
          <w:b/>
          <w:bCs/>
          <w:i/>
          <w:iCs/>
          <w:spacing w:val="-2"/>
          <w:sz w:val="15"/>
          <w:szCs w:val="15"/>
          <w:lang w:val="es-ES" w:eastAsia="es-ES"/>
        </w:rPr>
        <w:t>(…</w:t>
      </w:r>
      <w:r w:rsidR="00C769D0">
        <w:rPr>
          <w:rFonts w:ascii="Verdana" w:hAnsi="Verdana" w:cs="Verdana"/>
          <w:b/>
          <w:bCs/>
          <w:i/>
          <w:iCs/>
          <w:spacing w:val="-2"/>
          <w:sz w:val="15"/>
          <w:szCs w:val="15"/>
          <w:lang w:val="es-ES" w:eastAsia="es-ES"/>
        </w:rPr>
        <w:t>)</w:t>
      </w:r>
    </w:p>
    <w:p w:rsidR="00B42DB0" w:rsidRDefault="00C769D0">
      <w:pPr>
        <w:kinsoku w:val="0"/>
        <w:overflowPunct w:val="0"/>
        <w:autoSpaceDE/>
        <w:autoSpaceDN/>
        <w:adjustRightInd/>
        <w:spacing w:before="164" w:line="180" w:lineRule="exact"/>
        <w:ind w:left="432"/>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POR TANTO ACUERDAN EN FIRME</w:t>
      </w:r>
    </w:p>
    <w:p w:rsidR="00B42DB0" w:rsidRDefault="00C769D0">
      <w:pPr>
        <w:kinsoku w:val="0"/>
        <w:overflowPunct w:val="0"/>
        <w:autoSpaceDE/>
        <w:autoSpaceDN/>
        <w:adjustRightInd/>
        <w:spacing w:before="182" w:line="188" w:lineRule="exact"/>
        <w:ind w:left="432"/>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 xml:space="preserve">Votación 5 positivos y 1 negativo de la </w:t>
      </w:r>
      <w:proofErr w:type="spellStart"/>
      <w:r>
        <w:rPr>
          <w:rFonts w:ascii="Verdana" w:hAnsi="Verdana" w:cs="Verdana"/>
          <w:b/>
          <w:bCs/>
          <w:i/>
          <w:iCs/>
          <w:sz w:val="15"/>
          <w:szCs w:val="15"/>
          <w:lang w:val="es-ES" w:eastAsia="es-ES"/>
        </w:rPr>
        <w:t>Licda</w:t>
      </w:r>
      <w:proofErr w:type="spellEnd"/>
      <w:r>
        <w:rPr>
          <w:rFonts w:ascii="Verdana" w:hAnsi="Verdana" w:cs="Verdana"/>
          <w:b/>
          <w:bCs/>
          <w:i/>
          <w:iCs/>
          <w:sz w:val="15"/>
          <w:szCs w:val="15"/>
          <w:lang w:val="es-ES" w:eastAsia="es-ES"/>
        </w:rPr>
        <w:t xml:space="preserve"> Silvia Bolaños.</w:t>
      </w:r>
    </w:p>
    <w:p w:rsidR="00B42DB0" w:rsidRDefault="00C769D0">
      <w:pPr>
        <w:kinsoku w:val="0"/>
        <w:overflowPunct w:val="0"/>
        <w:autoSpaceDE/>
        <w:autoSpaceDN/>
        <w:adjustRightInd/>
        <w:spacing w:before="185" w:line="185" w:lineRule="exact"/>
        <w:ind w:left="432"/>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Acoger el informe de la Dirección de Asuntos Jurídicos </w:t>
      </w:r>
      <w:r>
        <w:rPr>
          <w:rFonts w:ascii="Verdana" w:hAnsi="Verdana" w:cs="Verdana"/>
          <w:b/>
          <w:bCs/>
          <w:i/>
          <w:iCs/>
          <w:sz w:val="15"/>
          <w:szCs w:val="15"/>
          <w:lang w:val="es-ES" w:eastAsia="es-ES"/>
        </w:rPr>
        <w:t xml:space="preserve">DAJ 2014-001492 </w:t>
      </w:r>
      <w:r>
        <w:rPr>
          <w:rFonts w:ascii="Verdana" w:hAnsi="Verdana" w:cs="Verdana"/>
          <w:i/>
          <w:iCs/>
          <w:sz w:val="15"/>
          <w:szCs w:val="15"/>
          <w:lang w:val="es-ES" w:eastAsia="es-ES"/>
        </w:rPr>
        <w:t>y por ende:</w:t>
      </w:r>
    </w:p>
    <w:p w:rsidR="00B42DB0" w:rsidRDefault="00C769D0">
      <w:pPr>
        <w:kinsoku w:val="0"/>
        <w:overflowPunct w:val="0"/>
        <w:autoSpaceDE/>
        <w:autoSpaceDN/>
        <w:adjustRightInd/>
        <w:spacing w:after="893" w:line="182" w:lineRule="exact"/>
        <w:ind w:left="432"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1.- Cancelar el permiso de operación otorgado a la empresa T</w:t>
      </w:r>
      <w:r w:rsidR="00D37D59">
        <w:rPr>
          <w:rFonts w:ascii="Verdana" w:hAnsi="Verdana" w:cs="Verdana"/>
          <w:i/>
          <w:iCs/>
          <w:sz w:val="15"/>
          <w:szCs w:val="15"/>
          <w:lang w:val="es-ES" w:eastAsia="es-ES"/>
        </w:rPr>
        <w:t>.B.S.A.</w:t>
      </w:r>
      <w:r>
        <w:rPr>
          <w:rFonts w:ascii="Verdana" w:hAnsi="Verdana" w:cs="Verdana"/>
          <w:i/>
          <w:iCs/>
          <w:sz w:val="15"/>
          <w:szCs w:val="15"/>
          <w:lang w:val="es-ES" w:eastAsia="es-ES"/>
        </w:rPr>
        <w:t xml:space="preserve"> de conformidad con lo que establece el artículo 154 de la Ley General de la Administración Pública y el artículo 8 del Reglamento de Transporte Internacional de Personas.</w:t>
      </w:r>
    </w:p>
    <w:p w:rsidR="00B42DB0" w:rsidRDefault="00B42DB0">
      <w:pPr>
        <w:widowControl/>
        <w:rPr>
          <w:sz w:val="24"/>
          <w:szCs w:val="24"/>
        </w:rPr>
        <w:sectPr w:rsidR="00B42DB0">
          <w:pgSz w:w="12134" w:h="15840"/>
          <w:pgMar w:top="1360" w:right="1944" w:bottom="210" w:left="2010" w:header="720" w:footer="720" w:gutter="0"/>
          <w:cols w:space="720"/>
          <w:noEndnote/>
        </w:sectPr>
      </w:pPr>
    </w:p>
    <w:p w:rsidR="00B42DB0" w:rsidRDefault="00B42DB0">
      <w:pPr>
        <w:tabs>
          <w:tab w:val="right" w:pos="1800"/>
        </w:tabs>
        <w:kinsoku w:val="0"/>
        <w:overflowPunct w:val="0"/>
        <w:autoSpaceDE/>
        <w:autoSpaceDN/>
        <w:adjustRightInd/>
        <w:spacing w:before="16" w:line="202" w:lineRule="exact"/>
        <w:textAlignment w:val="baseline"/>
        <w:rPr>
          <w:sz w:val="19"/>
          <w:szCs w:val="19"/>
          <w:lang w:val="es-ES" w:eastAsia="es-ES"/>
        </w:rPr>
      </w:pPr>
    </w:p>
    <w:p w:rsidR="00B42DB0" w:rsidRDefault="00B42DB0">
      <w:pPr>
        <w:widowControl/>
        <w:rPr>
          <w:sz w:val="24"/>
          <w:szCs w:val="24"/>
        </w:rPr>
        <w:sectPr w:rsidR="00B42DB0">
          <w:type w:val="continuous"/>
          <w:pgSz w:w="12134" w:h="15840"/>
          <w:pgMar w:top="1360" w:right="2024" w:bottom="210" w:left="8270" w:header="720" w:footer="720" w:gutter="0"/>
          <w:cols w:space="720"/>
          <w:noEndnote/>
        </w:sectPr>
      </w:pPr>
    </w:p>
    <w:p w:rsidR="00B42DB0" w:rsidRDefault="00C769D0">
      <w:pPr>
        <w:numPr>
          <w:ilvl w:val="0"/>
          <w:numId w:val="1"/>
        </w:numPr>
        <w:kinsoku w:val="0"/>
        <w:overflowPunct w:val="0"/>
        <w:autoSpaceDE/>
        <w:autoSpaceDN/>
        <w:adjustRightInd/>
        <w:spacing w:before="9" w:line="184"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Otorgarle un plazo de 30 días, a partir de la notificación de este acuerdo, a la empresa T</w:t>
      </w:r>
      <w:r w:rsidR="00D37D59">
        <w:rPr>
          <w:rFonts w:ascii="Verdana" w:hAnsi="Verdana" w:cs="Verdana"/>
          <w:i/>
          <w:iCs/>
          <w:sz w:val="15"/>
          <w:szCs w:val="15"/>
          <w:lang w:val="es-ES" w:eastAsia="es-ES"/>
        </w:rPr>
        <w:t>.B.S.A.</w:t>
      </w:r>
      <w:r>
        <w:rPr>
          <w:rFonts w:ascii="Verdana" w:hAnsi="Verdana" w:cs="Verdana"/>
          <w:i/>
          <w:iCs/>
          <w:sz w:val="15"/>
          <w:szCs w:val="15"/>
          <w:lang w:val="es-ES" w:eastAsia="es-ES"/>
        </w:rPr>
        <w:t xml:space="preserve"> para que cese en su totalidad toda operación del servicio de transporte internacional de personas que brinda desde San José - Changuinola (Panamá).</w:t>
      </w:r>
    </w:p>
    <w:p w:rsidR="00B42DB0" w:rsidRDefault="00C769D0">
      <w:pPr>
        <w:numPr>
          <w:ilvl w:val="0"/>
          <w:numId w:val="1"/>
        </w:numPr>
        <w:kinsoku w:val="0"/>
        <w:overflowPunct w:val="0"/>
        <w:autoSpaceDE/>
        <w:autoSpaceDN/>
        <w:adjustRightInd/>
        <w:spacing w:line="187"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Comisionar al Departamento de Ingeniería para que coordine con la Dirección General de la Policía de Tránsito a fin de proceder con el retiro de las placas de los autobuses que se encuentren prestando el servicio que está siendo cancelado.</w:t>
      </w:r>
    </w:p>
    <w:p w:rsidR="00B42DB0" w:rsidRDefault="00C769D0">
      <w:pPr>
        <w:numPr>
          <w:ilvl w:val="0"/>
          <w:numId w:val="1"/>
        </w:numPr>
        <w:kinsoku w:val="0"/>
        <w:overflowPunct w:val="0"/>
        <w:autoSpaceDE/>
        <w:autoSpaceDN/>
        <w:adjustRightInd/>
        <w:spacing w:line="187"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Comisionar al Departamento de Administración de Concesiones y Permisos para que al vencimiento del plazo </w:t>
      </w:r>
      <w:proofErr w:type="spellStart"/>
      <w:r>
        <w:rPr>
          <w:rFonts w:ascii="Verdana" w:hAnsi="Verdana" w:cs="Verdana"/>
          <w:i/>
          <w:iCs/>
          <w:sz w:val="15"/>
          <w:szCs w:val="15"/>
          <w:lang w:val="es-ES" w:eastAsia="es-ES"/>
        </w:rPr>
        <w:t>desinscriba</w:t>
      </w:r>
      <w:proofErr w:type="spellEnd"/>
      <w:r>
        <w:rPr>
          <w:rFonts w:ascii="Verdana" w:hAnsi="Verdana" w:cs="Verdana"/>
          <w:i/>
          <w:iCs/>
          <w:sz w:val="15"/>
          <w:szCs w:val="15"/>
          <w:lang w:val="es-ES" w:eastAsia="es-ES"/>
        </w:rPr>
        <w:t xml:space="preserve"> las unidades y el permiso a nombre de la empresa T</w:t>
      </w:r>
      <w:r w:rsidR="00D37D59">
        <w:rPr>
          <w:rFonts w:ascii="Verdana" w:hAnsi="Verdana" w:cs="Verdana"/>
          <w:i/>
          <w:iCs/>
          <w:sz w:val="15"/>
          <w:szCs w:val="15"/>
          <w:lang w:val="es-ES" w:eastAsia="es-ES"/>
        </w:rPr>
        <w:t>.B.S.A.</w:t>
      </w:r>
    </w:p>
    <w:p w:rsidR="00B42DB0" w:rsidRDefault="00C769D0">
      <w:pPr>
        <w:numPr>
          <w:ilvl w:val="0"/>
          <w:numId w:val="1"/>
        </w:numPr>
        <w:kinsoku w:val="0"/>
        <w:overflowPunct w:val="0"/>
        <w:autoSpaceDE/>
        <w:autoSpaceDN/>
        <w:adjustRightInd/>
        <w:spacing w:line="181"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Notifíquese el presente acuerdo a la Dirección General de la Policía de Tránsito, al Departamento de Ingeniería, al Departamento de Administración de Concesiones y Permisos, a la empresa T</w:t>
      </w:r>
      <w:r w:rsidR="00D37D59">
        <w:rPr>
          <w:rFonts w:ascii="Verdana" w:hAnsi="Verdana" w:cs="Verdana"/>
          <w:i/>
          <w:iCs/>
          <w:sz w:val="15"/>
          <w:szCs w:val="15"/>
          <w:lang w:val="es-ES" w:eastAsia="es-ES"/>
        </w:rPr>
        <w:t>.B.S.A.</w:t>
      </w:r>
      <w:r>
        <w:rPr>
          <w:rFonts w:ascii="Verdana" w:hAnsi="Verdana" w:cs="Verdana"/>
          <w:i/>
          <w:iCs/>
          <w:sz w:val="15"/>
          <w:szCs w:val="15"/>
          <w:lang w:val="es-ES" w:eastAsia="es-ES"/>
        </w:rPr>
        <w:t xml:space="preserve"> a fin de que proceda con el cese de sus funciones en el plazo otorgado, al fax </w:t>
      </w:r>
      <w:r w:rsidR="00D37D59">
        <w:rPr>
          <w:rFonts w:ascii="Verdana" w:hAnsi="Verdana" w:cs="Verdana"/>
          <w:i/>
          <w:iCs/>
          <w:sz w:val="15"/>
          <w:szCs w:val="15"/>
          <w:lang w:val="es-ES" w:eastAsia="es-ES"/>
        </w:rPr>
        <w:t>XXXX-XXXX</w:t>
      </w:r>
      <w:r>
        <w:rPr>
          <w:rFonts w:ascii="Verdana" w:hAnsi="Verdana" w:cs="Verdana"/>
          <w:i/>
          <w:iCs/>
          <w:sz w:val="15"/>
          <w:szCs w:val="15"/>
          <w:lang w:val="es-ES" w:eastAsia="es-ES"/>
        </w:rPr>
        <w:t xml:space="preserve"> o al correo electrónico </w:t>
      </w:r>
      <w:hyperlink r:id="rId5" w:history="1">
        <w:r w:rsidR="00D37D59" w:rsidRPr="007D0453">
          <w:rPr>
            <w:rStyle w:val="Hipervnculo"/>
            <w:rFonts w:ascii="Verdana" w:hAnsi="Verdana" w:cs="Verdana"/>
            <w:i/>
            <w:iCs/>
            <w:sz w:val="15"/>
            <w:szCs w:val="15"/>
            <w:lang w:val="es-ES" w:eastAsia="es-ES"/>
          </w:rPr>
          <w:t>XXXXXXX@ice.co.cr</w:t>
        </w:r>
      </w:hyperlink>
      <w:r>
        <w:rPr>
          <w:rFonts w:ascii="Verdana" w:hAnsi="Verdana" w:cs="Verdana"/>
          <w:i/>
          <w:iCs/>
          <w:sz w:val="15"/>
          <w:szCs w:val="15"/>
          <w:lang w:val="es-ES" w:eastAsia="es-ES"/>
        </w:rPr>
        <w:t>.; a la empresa A</w:t>
      </w:r>
      <w:r w:rsidR="00D37D59">
        <w:rPr>
          <w:rFonts w:ascii="Verdana" w:hAnsi="Verdana" w:cs="Verdana"/>
          <w:i/>
          <w:iCs/>
          <w:sz w:val="15"/>
          <w:szCs w:val="15"/>
          <w:lang w:val="es-ES" w:eastAsia="es-ES"/>
        </w:rPr>
        <w:t>.M.</w:t>
      </w:r>
      <w:r>
        <w:rPr>
          <w:rFonts w:ascii="Verdana" w:hAnsi="Verdana" w:cs="Verdana"/>
          <w:i/>
          <w:iCs/>
          <w:sz w:val="15"/>
          <w:szCs w:val="15"/>
          <w:lang w:val="es-ES" w:eastAsia="es-ES"/>
        </w:rPr>
        <w:t xml:space="preserve">S.A. al fax </w:t>
      </w:r>
      <w:r w:rsidR="00D37D59">
        <w:rPr>
          <w:rFonts w:ascii="Verdana" w:hAnsi="Verdana" w:cs="Verdana"/>
          <w:i/>
          <w:iCs/>
          <w:sz w:val="15"/>
          <w:szCs w:val="15"/>
          <w:lang w:val="es-ES" w:eastAsia="es-ES"/>
        </w:rPr>
        <w:t>XXXX-XXXX</w:t>
      </w:r>
      <w:r>
        <w:rPr>
          <w:rFonts w:ascii="Verdana" w:hAnsi="Verdana" w:cs="Verdana"/>
          <w:i/>
          <w:iCs/>
          <w:sz w:val="15"/>
          <w:szCs w:val="15"/>
          <w:lang w:val="es-ES" w:eastAsia="es-ES"/>
        </w:rPr>
        <w:t>; en su condición de denunciante".</w:t>
      </w:r>
    </w:p>
    <w:p w:rsidR="00B42DB0" w:rsidRDefault="00C769D0">
      <w:pPr>
        <w:kinsoku w:val="0"/>
        <w:overflowPunct w:val="0"/>
        <w:autoSpaceDE/>
        <w:autoSpaceDN/>
        <w:adjustRightInd/>
        <w:spacing w:before="556" w:line="27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La Recurrente por medio de sus apoderados en líbelo presentado indica los siguiente: (ver folios del 14 al 28 del expediente administrativo)</w:t>
      </w:r>
    </w:p>
    <w:p w:rsidR="00B42DB0" w:rsidRDefault="00C769D0">
      <w:pPr>
        <w:numPr>
          <w:ilvl w:val="0"/>
          <w:numId w:val="2"/>
        </w:numPr>
        <w:kinsoku w:val="0"/>
        <w:overflowPunct w:val="0"/>
        <w:autoSpaceDE/>
        <w:autoSpaceDN/>
        <w:adjustRightInd/>
        <w:spacing w:before="278" w:line="27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el año 2008 presentaron un procedimiento Contencioso Administrativo, el cual se tramitó en expediente N° 08-00815-1027-CA para que se anulara el artículo 4.7 de la Sesión Ordinaria 41-2006 del 27 de julio de 2006 y la Resolución del Tribunal Administrativo de Transporte la TAT-1695-2008 del 30 de mayo de 2008, lo cual se dió así mediante sentencia número 2161-2009 de las 9 horas 35 minutos de 5 de octubre de 2009 y se ordena al Consejo de Transporte Público otorgar el derecho de la defensa a la parte actora e introducir todos los criterios técnicos que determinen si existe mérito o no para cancelar el permiso de operación a la empresa Bocatoreños. La Sala Primera en sentencia 001430-F-SI-2011 de las 9 horas 5 minutos del 21 de noviembre de 2011, declara sin lugar el recurso de casación presentado contra la resolución indicada.</w:t>
      </w:r>
    </w:p>
    <w:p w:rsidR="00B42DB0" w:rsidRDefault="00C769D0">
      <w:pPr>
        <w:numPr>
          <w:ilvl w:val="0"/>
          <w:numId w:val="3"/>
        </w:numPr>
        <w:kinsoku w:val="0"/>
        <w:overflowPunct w:val="0"/>
        <w:autoSpaceDE/>
        <w:autoSpaceDN/>
        <w:adjustRightInd/>
        <w:spacing w:before="284" w:line="277" w:lineRule="exact"/>
        <w:ind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El Consejo de Transporte dispone en el artículo 7.1 de la Sesión 47-2013 de 11 de julio de 2013 iniciar el procedimiento administrativo de caducidad. La Dirección Jurídica emite el oficio 2014000867 el 26 de febrero de 2014, en el que les concede audiencia para la eventual cancelación del permiso. El Consejo de Transporte Público mediante artículo 5.3 de la Sesión Ordinaria 28</w:t>
      </w:r>
      <w:r>
        <w:rPr>
          <w:rFonts w:ascii="Verdana" w:hAnsi="Verdana" w:cs="Verdana"/>
          <w:spacing w:val="4"/>
          <w:sz w:val="22"/>
          <w:szCs w:val="22"/>
          <w:lang w:val="es-ES" w:eastAsia="es-ES"/>
        </w:rPr>
        <w:softHyphen/>
        <w:t>2014 de 10 de abril de 2014 ordena la cancelación de la concesión.</w:t>
      </w:r>
    </w:p>
    <w:p w:rsidR="00D37D59" w:rsidRDefault="00D37D59" w:rsidP="00D37D59">
      <w:pPr>
        <w:kinsoku w:val="0"/>
        <w:overflowPunct w:val="0"/>
        <w:autoSpaceDE/>
        <w:autoSpaceDN/>
        <w:adjustRightInd/>
        <w:spacing w:before="284" w:line="277" w:lineRule="exact"/>
        <w:ind w:left="72" w:right="72"/>
        <w:jc w:val="both"/>
        <w:textAlignment w:val="baseline"/>
        <w:rPr>
          <w:rFonts w:ascii="Verdana" w:hAnsi="Verdana" w:cs="Verdana"/>
          <w:spacing w:val="4"/>
          <w:sz w:val="22"/>
          <w:szCs w:val="22"/>
          <w:lang w:val="es-ES" w:eastAsia="es-ES"/>
        </w:rPr>
      </w:pPr>
    </w:p>
    <w:p w:rsidR="00B42DB0" w:rsidRPr="00D37D59" w:rsidRDefault="00C769D0" w:rsidP="00D37D59">
      <w:pPr>
        <w:numPr>
          <w:ilvl w:val="0"/>
          <w:numId w:val="3"/>
        </w:numPr>
        <w:tabs>
          <w:tab w:val="clear" w:pos="432"/>
          <w:tab w:val="num" w:pos="142"/>
        </w:tabs>
        <w:kinsoku w:val="0"/>
        <w:overflowPunct w:val="0"/>
        <w:autoSpaceDE/>
        <w:autoSpaceDN/>
        <w:adjustRightInd/>
        <w:spacing w:before="2" w:line="277" w:lineRule="exact"/>
        <w:ind w:right="72"/>
        <w:jc w:val="both"/>
        <w:textAlignment w:val="baseline"/>
        <w:rPr>
          <w:rFonts w:ascii="Verdana" w:hAnsi="Verdana" w:cs="Verdana"/>
          <w:sz w:val="22"/>
          <w:szCs w:val="22"/>
          <w:lang w:val="es-ES" w:eastAsia="es-ES"/>
        </w:rPr>
      </w:pPr>
      <w:r w:rsidRPr="00D37D59">
        <w:rPr>
          <w:rFonts w:ascii="Verdana" w:hAnsi="Verdana" w:cs="Verdana"/>
          <w:sz w:val="22"/>
          <w:szCs w:val="22"/>
          <w:lang w:val="es-ES" w:eastAsia="es-ES"/>
        </w:rPr>
        <w:t>Es evidente y manifiesto que han transcurrido 4 años y seis meses desde que se ordenó el Procedimiento Administrativo Ordinario y si se considera la fecha de la sentencia de Sala Primera que ratificó el fallo han 'transcurrido dos años y cinco meses, lo anterior indica que los plazos no pueden ser irracionales técnicamente, ilógicos e injustos, como lo ordena el artículo 16 de la Ley General de la Administración Pública, lo cual transgrede hasta jurisprudencia de la misma Sala Constitucional. El procedimiento esta caduco pues se paralizó por</w:t>
      </w:r>
      <w:r w:rsidR="00D37D59" w:rsidRPr="00D37D59">
        <w:rPr>
          <w:rFonts w:ascii="Verdana" w:hAnsi="Verdana" w:cs="Verdana"/>
          <w:sz w:val="22"/>
          <w:szCs w:val="22"/>
          <w:lang w:val="es-ES" w:eastAsia="es-ES"/>
        </w:rPr>
        <w:t xml:space="preserve"> </w:t>
      </w:r>
      <w:r w:rsidRPr="00D37D59">
        <w:rPr>
          <w:rFonts w:ascii="Verdana" w:hAnsi="Verdana" w:cs="Verdana"/>
          <w:sz w:val="22"/>
          <w:szCs w:val="22"/>
          <w:lang w:val="es-ES" w:eastAsia="es-ES"/>
        </w:rPr>
        <w:t>años.</w:t>
      </w:r>
      <w:r w:rsidRPr="00D37D59">
        <w:rPr>
          <w:rFonts w:ascii="Verdana" w:hAnsi="Verdana" w:cs="Verdana"/>
          <w:sz w:val="22"/>
          <w:szCs w:val="22"/>
          <w:lang w:val="es-ES" w:eastAsia="es-ES"/>
        </w:rPr>
        <w:tab/>
        <w:t>Para finalizar este punto indica que si bien es cierto las</w:t>
      </w:r>
    </w:p>
    <w:p w:rsidR="00B42DB0" w:rsidRDefault="00B42DB0">
      <w:pPr>
        <w:widowControl/>
        <w:rPr>
          <w:sz w:val="24"/>
          <w:szCs w:val="24"/>
        </w:rPr>
        <w:sectPr w:rsidR="00B42DB0">
          <w:pgSz w:w="12134" w:h="15840"/>
          <w:pgMar w:top="1340" w:right="1898" w:bottom="220" w:left="2056" w:header="720" w:footer="720" w:gutter="0"/>
          <w:cols w:space="720"/>
          <w:noEndnote/>
        </w:sectPr>
      </w:pPr>
    </w:p>
    <w:p w:rsidR="00B42DB0" w:rsidRDefault="00C769D0">
      <w:pPr>
        <w:kinsoku w:val="0"/>
        <w:overflowPunct w:val="0"/>
        <w:autoSpaceDE/>
        <w:autoSpaceDN/>
        <w:adjustRightInd/>
        <w:spacing w:before="14" w:line="27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potestades de imperio son imprescriptibles, un procedimiento tiene su plazo el cual no puede dilatarse discrecionalmente.</w:t>
      </w:r>
    </w:p>
    <w:p w:rsidR="00B42DB0" w:rsidRDefault="00C769D0">
      <w:pPr>
        <w:numPr>
          <w:ilvl w:val="0"/>
          <w:numId w:val="4"/>
        </w:numPr>
        <w:kinsoku w:val="0"/>
        <w:overflowPunct w:val="0"/>
        <w:autoSpaceDE/>
        <w:autoSpaceDN/>
        <w:adjustRightInd/>
        <w:spacing w:before="265" w:line="278"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empresa M</w:t>
      </w:r>
      <w:r w:rsidR="00D37D59">
        <w:rPr>
          <w:rFonts w:ascii="Verdana" w:hAnsi="Verdana" w:cs="Verdana"/>
          <w:spacing w:val="3"/>
          <w:sz w:val="22"/>
          <w:szCs w:val="22"/>
          <w:lang w:val="es-ES" w:eastAsia="es-ES"/>
        </w:rPr>
        <w:t>.</w:t>
      </w:r>
      <w:r>
        <w:rPr>
          <w:rFonts w:ascii="Verdana" w:hAnsi="Verdana" w:cs="Verdana"/>
          <w:spacing w:val="3"/>
          <w:sz w:val="22"/>
          <w:szCs w:val="22"/>
          <w:lang w:val="es-ES" w:eastAsia="es-ES"/>
        </w:rPr>
        <w:t xml:space="preserve"> en forma constante ha denunciado a su representada con el firme objetivo de que se le cancele el permiso de operación y asumir ellos el servicio internacional y es a raíz de ese tipo de denuncias que se han elaborado informes tendenciosos, arbitrarios, subjetivos, irracionales por parte de funcionarios cuestionados que datan desde el 2006.</w:t>
      </w:r>
    </w:p>
    <w:p w:rsidR="00B42DB0" w:rsidRDefault="00C769D0">
      <w:pPr>
        <w:numPr>
          <w:ilvl w:val="0"/>
          <w:numId w:val="5"/>
        </w:numPr>
        <w:kinsoku w:val="0"/>
        <w:overflowPunct w:val="0"/>
        <w:autoSpaceDE/>
        <w:autoSpaceDN/>
        <w:adjustRightInd/>
        <w:spacing w:before="266" w:line="268" w:lineRule="exact"/>
        <w:ind w:right="72"/>
        <w:jc w:val="both"/>
        <w:textAlignment w:val="baseline"/>
        <w:rPr>
          <w:rFonts w:ascii="Verdana" w:hAnsi="Verdana" w:cs="Verdana"/>
          <w:b/>
          <w:bCs/>
          <w:sz w:val="22"/>
          <w:szCs w:val="22"/>
          <w:u w:val="single"/>
          <w:lang w:val="es-ES" w:eastAsia="es-ES"/>
        </w:rPr>
      </w:pPr>
      <w:r>
        <w:rPr>
          <w:rFonts w:ascii="Verdana" w:hAnsi="Verdana" w:cs="Verdana"/>
          <w:b/>
          <w:bCs/>
          <w:sz w:val="22"/>
          <w:szCs w:val="22"/>
          <w:u w:val="single"/>
          <w:lang w:val="es-ES" w:eastAsia="es-ES"/>
        </w:rPr>
        <w:t xml:space="preserve">Solicita Se suspendan los efectos del acto hasta que se </w:t>
      </w:r>
      <w:proofErr w:type="spellStart"/>
      <w:r>
        <w:rPr>
          <w:rFonts w:ascii="Verdana" w:hAnsi="Verdana" w:cs="Verdana"/>
          <w:b/>
          <w:bCs/>
          <w:sz w:val="22"/>
          <w:szCs w:val="22"/>
          <w:u w:val="single"/>
          <w:lang w:val="es-ES" w:eastAsia="es-ES"/>
        </w:rPr>
        <w:t>de</w:t>
      </w:r>
      <w:proofErr w:type="spellEnd"/>
      <w:r>
        <w:rPr>
          <w:rFonts w:ascii="Verdana" w:hAnsi="Verdana" w:cs="Verdana"/>
          <w:b/>
          <w:bCs/>
          <w:sz w:val="22"/>
          <w:szCs w:val="22"/>
          <w:u w:val="single"/>
          <w:lang w:val="es-ES" w:eastAsia="es-ES"/>
        </w:rPr>
        <w:t xml:space="preserve"> la resolución final.</w:t>
      </w:r>
    </w:p>
    <w:p w:rsidR="00B42DB0" w:rsidRDefault="00C769D0">
      <w:pPr>
        <w:kinsoku w:val="0"/>
        <w:overflowPunct w:val="0"/>
        <w:autoSpaceDE/>
        <w:autoSpaceDN/>
        <w:adjustRightInd/>
        <w:spacing w:before="577" w:line="278"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TERCERO: </w:t>
      </w:r>
      <w:r>
        <w:rPr>
          <w:rFonts w:ascii="Verdana" w:hAnsi="Verdana" w:cs="Verdana"/>
          <w:spacing w:val="3"/>
          <w:sz w:val="22"/>
          <w:szCs w:val="22"/>
          <w:lang w:val="es-ES" w:eastAsia="es-ES"/>
        </w:rPr>
        <w:t xml:space="preserve">Mediante acuerdo 7.2 de la Sesión Ordinaria 57-2014 de 8 de octubre de 2014, la Junta Directiva del Consejo de Transporte Público conoce y avala el informe de la Dirección de Asuntos Jurídica el </w:t>
      </w:r>
      <w:r>
        <w:rPr>
          <w:rFonts w:ascii="Verdana" w:hAnsi="Verdana" w:cs="Verdana"/>
          <w:b/>
          <w:bCs/>
          <w:spacing w:val="3"/>
          <w:sz w:val="22"/>
          <w:szCs w:val="22"/>
          <w:lang w:val="es-ES" w:eastAsia="es-ES"/>
        </w:rPr>
        <w:t>DA</w:t>
      </w:r>
      <w:r w:rsidR="00D37D59">
        <w:rPr>
          <w:rFonts w:ascii="Verdana" w:hAnsi="Verdana" w:cs="Verdana"/>
          <w:b/>
          <w:bCs/>
          <w:spacing w:val="3"/>
          <w:sz w:val="22"/>
          <w:szCs w:val="22"/>
          <w:lang w:val="es-ES" w:eastAsia="es-ES"/>
        </w:rPr>
        <w:t>J</w:t>
      </w:r>
      <w:r>
        <w:rPr>
          <w:rFonts w:ascii="Verdana" w:hAnsi="Verdana" w:cs="Verdana"/>
          <w:b/>
          <w:bCs/>
          <w:spacing w:val="3"/>
          <w:sz w:val="22"/>
          <w:szCs w:val="22"/>
          <w:lang w:val="es-ES" w:eastAsia="es-ES"/>
        </w:rPr>
        <w:t xml:space="preserve">-2014002221 de 3 de junio de 2014 </w:t>
      </w:r>
      <w:r>
        <w:rPr>
          <w:rFonts w:ascii="Verdana" w:hAnsi="Verdana" w:cs="Verdana"/>
          <w:spacing w:val="3"/>
          <w:sz w:val="22"/>
          <w:szCs w:val="22"/>
          <w:lang w:val="es-ES" w:eastAsia="es-ES"/>
        </w:rPr>
        <w:t>y acuerda rechazar el Recurso de Revocatoria por extemporáneo y la gestión de nulidad por improcedente. (Léanse folios 1 y del 5 al 11 del expediente administrativo)</w:t>
      </w:r>
    </w:p>
    <w:p w:rsidR="00B42DB0" w:rsidRDefault="00C769D0">
      <w:pPr>
        <w:kinsoku w:val="0"/>
        <w:overflowPunct w:val="0"/>
        <w:autoSpaceDE/>
        <w:autoSpaceDN/>
        <w:adjustRightInd/>
        <w:spacing w:before="277" w:line="27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B42DB0" w:rsidRDefault="00C769D0">
      <w:pPr>
        <w:kinsoku w:val="0"/>
        <w:overflowPunct w:val="0"/>
        <w:autoSpaceDE/>
        <w:autoSpaceDN/>
        <w:adjustRightInd/>
        <w:spacing w:before="285" w:line="270" w:lineRule="exact"/>
        <w:ind w:left="72" w:right="72"/>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Redacta la Juez Pérez Peláez; y,</w:t>
      </w:r>
    </w:p>
    <w:p w:rsidR="00B42DB0" w:rsidRDefault="00C769D0">
      <w:pPr>
        <w:kinsoku w:val="0"/>
        <w:overflowPunct w:val="0"/>
        <w:autoSpaceDE/>
        <w:autoSpaceDN/>
        <w:adjustRightInd/>
        <w:spacing w:before="290" w:line="270" w:lineRule="exact"/>
        <w:ind w:left="72" w:right="72"/>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w:t>
      </w:r>
    </w:p>
    <w:p w:rsidR="00B42DB0" w:rsidRDefault="00C769D0">
      <w:pPr>
        <w:kinsoku w:val="0"/>
        <w:overflowPunct w:val="0"/>
        <w:autoSpaceDE/>
        <w:autoSpaceDN/>
        <w:adjustRightInd/>
        <w:spacing w:before="292" w:line="270" w:lineRule="exact"/>
        <w:ind w:left="72" w:right="72"/>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2.- SOBRE LA ADMISIBILIDAD DEL RECURSO:</w:t>
      </w:r>
    </w:p>
    <w:p w:rsidR="00B42DB0" w:rsidRDefault="00C769D0">
      <w:pPr>
        <w:kinsoku w:val="0"/>
        <w:overflowPunct w:val="0"/>
        <w:autoSpaceDE/>
        <w:autoSpaceDN/>
        <w:adjustRightInd/>
        <w:spacing w:before="283" w:line="277" w:lineRule="exact"/>
        <w:ind w:left="72"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u w:val="single"/>
          <w:lang w:val="es-ES" w:eastAsia="es-ES"/>
        </w:rPr>
        <w:t>En cuanto al plazo de presentación del recurso:</w:t>
      </w:r>
      <w:r>
        <w:rPr>
          <w:rFonts w:ascii="Verdana" w:hAnsi="Verdana" w:cs="Verdana"/>
          <w:spacing w:val="4"/>
          <w:sz w:val="22"/>
          <w:szCs w:val="22"/>
          <w:lang w:val="es-ES" w:eastAsia="es-ES"/>
        </w:rPr>
        <w:t xml:space="preserve"> 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w:t>
      </w:r>
      <w:r>
        <w:rPr>
          <w:rFonts w:ascii="Verdana" w:hAnsi="Verdana" w:cs="Verdana"/>
          <w:b/>
          <w:bCs/>
          <w:spacing w:val="4"/>
          <w:sz w:val="22"/>
          <w:szCs w:val="22"/>
          <w:lang w:val="es-ES" w:eastAsia="es-ES"/>
        </w:rPr>
        <w:t xml:space="preserve">apelación, </w:t>
      </w:r>
      <w:r>
        <w:rPr>
          <w:rFonts w:ascii="Verdana" w:hAnsi="Verdana" w:cs="Verdana"/>
          <w:spacing w:val="4"/>
          <w:sz w:val="22"/>
          <w:szCs w:val="22"/>
          <w:lang w:val="es-ES" w:eastAsia="es-ES"/>
        </w:rPr>
        <w:t>sea ésta 9 de mayo de 2014, ya había transcurrido el plazo establecido por ley para recurrir dicho acto.</w:t>
      </w:r>
    </w:p>
    <w:p w:rsidR="00B42DB0" w:rsidRDefault="00C769D0">
      <w:pPr>
        <w:kinsoku w:val="0"/>
        <w:overflowPunct w:val="0"/>
        <w:autoSpaceDE/>
        <w:autoSpaceDN/>
        <w:adjustRightInd/>
        <w:spacing w:before="265" w:line="27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este sentido, el artículo 11 de la Ley N° 7969, establece en lo que interesa:</w:t>
      </w:r>
    </w:p>
    <w:p w:rsidR="00B42DB0" w:rsidRDefault="00C769D0">
      <w:pPr>
        <w:kinsoku w:val="0"/>
        <w:overflowPunct w:val="0"/>
        <w:autoSpaceDE/>
        <w:autoSpaceDN/>
        <w:adjustRightInd/>
        <w:spacing w:before="268" w:after="738" w:line="281" w:lineRule="exact"/>
        <w:ind w:left="72" w:righ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B42DB0" w:rsidRDefault="00B42DB0">
      <w:pPr>
        <w:widowControl/>
        <w:rPr>
          <w:sz w:val="24"/>
          <w:szCs w:val="24"/>
        </w:rPr>
        <w:sectPr w:rsidR="00B42DB0">
          <w:pgSz w:w="12134" w:h="15840"/>
          <w:pgMar w:top="1360" w:right="1933" w:bottom="200" w:left="2021" w:header="720" w:footer="720" w:gutter="0"/>
          <w:cols w:space="720"/>
          <w:noEndnote/>
        </w:sectPr>
      </w:pPr>
    </w:p>
    <w:p w:rsidR="00B42DB0" w:rsidRDefault="00B42DB0">
      <w:pPr>
        <w:widowControl/>
        <w:rPr>
          <w:sz w:val="24"/>
          <w:szCs w:val="24"/>
        </w:rPr>
        <w:sectPr w:rsidR="00B42DB0">
          <w:type w:val="continuous"/>
          <w:pgSz w:w="12134" w:h="15840"/>
          <w:pgMar w:top="1360" w:right="2008" w:bottom="200" w:left="8246" w:header="720" w:footer="720" w:gutter="0"/>
          <w:cols w:space="720"/>
          <w:noEndnote/>
        </w:sectPr>
      </w:pPr>
    </w:p>
    <w:p w:rsidR="00B42DB0" w:rsidRDefault="00C769D0">
      <w:pPr>
        <w:kinsoku w:val="0"/>
        <w:overflowPunct w:val="0"/>
        <w:autoSpaceDE/>
        <w:autoSpaceDN/>
        <w:adjustRightInd/>
        <w:spacing w:before="6" w:line="27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conformidad con la norma transcrita anteriormente, se determina que el recurso de apelación, ha sido presentado de manera extemporánea, por cuanto el acuerdo impugnado fue debidamente notificado en fecha 24 de abril de 2014. (ver folio 12 del expediente)</w:t>
      </w:r>
    </w:p>
    <w:p w:rsidR="00B42DB0" w:rsidRDefault="00C769D0">
      <w:pPr>
        <w:kinsoku w:val="0"/>
        <w:overflowPunct w:val="0"/>
        <w:autoSpaceDE/>
        <w:autoSpaceDN/>
        <w:adjustRightInd/>
        <w:spacing w:before="271" w:line="27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w:t>
      </w:r>
      <w:r w:rsidR="00D37D59">
        <w:rPr>
          <w:rFonts w:ascii="Verdana" w:hAnsi="Verdana" w:cs="Verdana"/>
          <w:sz w:val="22"/>
          <w:szCs w:val="22"/>
          <w:lang w:val="es-ES" w:eastAsia="es-ES"/>
        </w:rPr>
        <w:t>cu</w:t>
      </w:r>
      <w:r>
        <w:rPr>
          <w:rFonts w:ascii="Verdana" w:hAnsi="Verdana" w:cs="Verdana"/>
          <w:sz w:val="22"/>
          <w:szCs w:val="22"/>
          <w:lang w:val="es-ES" w:eastAsia="es-ES"/>
        </w:rPr>
        <w:t>anto a la nulidad invocada, revisado el acuerdo impugnado, no encuentra este Tribunal vicio alguno en la conformación del acto, que conlleve la nulidad de este, así mismo en cuanto al advenimiento de los plazos de caducidad se verifica en la especie que los mismos no se dieron.</w:t>
      </w:r>
    </w:p>
    <w:p w:rsidR="00B42DB0" w:rsidRDefault="00C769D0">
      <w:pPr>
        <w:kinsoku w:val="0"/>
        <w:overflowPunct w:val="0"/>
        <w:autoSpaceDE/>
        <w:autoSpaceDN/>
        <w:adjustRightInd/>
        <w:spacing w:before="274" w:line="27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w:t>
      </w:r>
      <w:proofErr w:type="spellStart"/>
      <w:r>
        <w:rPr>
          <w:rFonts w:ascii="Verdana" w:hAnsi="Verdana" w:cs="Verdana"/>
          <w:sz w:val="22"/>
          <w:szCs w:val="22"/>
          <w:lang w:val="es-ES" w:eastAsia="es-ES"/>
        </w:rPr>
        <w:t>verífica</w:t>
      </w:r>
      <w:proofErr w:type="spellEnd"/>
      <w:r>
        <w:rPr>
          <w:rFonts w:ascii="Verdana" w:hAnsi="Verdana" w:cs="Verdana"/>
          <w:sz w:val="22"/>
          <w:szCs w:val="22"/>
          <w:lang w:val="es-ES" w:eastAsia="es-ES"/>
        </w:rPr>
        <w:t xml:space="preserve"> a folio 108 del expediente administrativo mediante acuerdo 7.1 de la Sesión Ordinaria 13-2014 del 19 de febrero de 2014 la Junta Directiva del Consejo de Transporte Público ordena a la Dirección de Asuntos Jurídicos la apertura de un procedimiento administrativo otorgando el Debido Proceso a la empresa Recurrente en acato de lo dispuesto por el Tribunal Contencioso Administrativo en sentencia 2161-2009. Este acuerdo se notifica a la indicada dirección el 24 de febrero de 2014.</w:t>
      </w:r>
    </w:p>
    <w:p w:rsidR="00B42DB0" w:rsidRDefault="00C769D0">
      <w:pPr>
        <w:kinsoku w:val="0"/>
        <w:overflowPunct w:val="0"/>
        <w:autoSpaceDE/>
        <w:autoSpaceDN/>
        <w:adjustRightInd/>
        <w:spacing w:before="280" w:line="27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 folio 110 a 112 se encuentra el oficio 2014000867 de la Dirección de Asuntos Jurídicos de fecha 26 de febrero de 2014, en el cual se comunica el acto de apertura del procedimiento administrativo de cancelación de permiso a la empresa B</w:t>
      </w:r>
      <w:r w:rsidR="00D37D59">
        <w:rPr>
          <w:rFonts w:ascii="Verdana" w:hAnsi="Verdana" w:cs="Verdana"/>
          <w:sz w:val="22"/>
          <w:szCs w:val="22"/>
          <w:lang w:val="es-ES" w:eastAsia="es-ES"/>
        </w:rPr>
        <w:t>.</w:t>
      </w:r>
      <w:r>
        <w:rPr>
          <w:rFonts w:ascii="Verdana" w:hAnsi="Verdana" w:cs="Verdana"/>
          <w:sz w:val="22"/>
          <w:szCs w:val="22"/>
          <w:lang w:val="es-ES" w:eastAsia="es-ES"/>
        </w:rPr>
        <w:t>, mismo que se notifico el 5 de marzo de 2014.</w:t>
      </w:r>
    </w:p>
    <w:p w:rsidR="00B42DB0" w:rsidRDefault="00C769D0">
      <w:pPr>
        <w:kinsoku w:val="0"/>
        <w:overflowPunct w:val="0"/>
        <w:autoSpaceDE/>
        <w:autoSpaceDN/>
        <w:adjustRightInd/>
        <w:spacing w:before="268" w:line="278"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A folio 115 a 124 se encuentra el oficio 2014001492 de la Dirección de Asuntos Jurídicos de fecha 7 de abril de 2014, en el cual se comunica a la Junta Directiva el informe final de recomendación del procedimiento administrativo seguido contra la empresa B.</w:t>
      </w:r>
    </w:p>
    <w:p w:rsidR="00B42DB0" w:rsidRDefault="00C769D0">
      <w:pPr>
        <w:kinsoku w:val="0"/>
        <w:overflowPunct w:val="0"/>
        <w:autoSpaceDE/>
        <w:autoSpaceDN/>
        <w:adjustRightInd/>
        <w:spacing w:before="273" w:after="3234" w:line="278"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De lo anterior se desprende que desde el momento en que se ordena la apertura del procedimiento al momento de resolución de este acuerdo el 10 de abril de 2014, fecha en que se emite el acto impugnado, no se mantuvo el procedimiento suspendido por más de 6 meses, por lo que no ha operado la caducidad del numeral 340 de la Ley General de la Administración Pública tal como lo ha dicho el recurrente.</w:t>
      </w:r>
    </w:p>
    <w:p w:rsidR="00B42DB0" w:rsidRDefault="00B42DB0">
      <w:pPr>
        <w:widowControl/>
        <w:rPr>
          <w:sz w:val="24"/>
          <w:szCs w:val="24"/>
        </w:rPr>
        <w:sectPr w:rsidR="00B42DB0">
          <w:pgSz w:w="12134" w:h="15840"/>
          <w:pgMar w:top="1340" w:right="1888" w:bottom="210" w:left="2066" w:header="720" w:footer="720" w:gutter="0"/>
          <w:cols w:space="720"/>
          <w:noEndnote/>
        </w:sectPr>
      </w:pPr>
    </w:p>
    <w:p w:rsidR="00B42DB0" w:rsidRDefault="00B42DB0">
      <w:pPr>
        <w:widowControl/>
        <w:rPr>
          <w:sz w:val="24"/>
          <w:szCs w:val="24"/>
        </w:rPr>
        <w:sectPr w:rsidR="00B42DB0">
          <w:type w:val="continuous"/>
          <w:pgSz w:w="12134" w:h="15840"/>
          <w:pgMar w:top="1340" w:right="1961" w:bottom="210" w:left="8293" w:header="720" w:footer="720" w:gutter="0"/>
          <w:cols w:space="720"/>
          <w:noEndnote/>
        </w:sectPr>
      </w:pPr>
    </w:p>
    <w:p w:rsidR="00B42DB0" w:rsidRDefault="00C769D0">
      <w:pPr>
        <w:kinsoku w:val="0"/>
        <w:overflowPunct w:val="0"/>
        <w:autoSpaceDE/>
        <w:autoSpaceDN/>
        <w:adjustRightInd/>
        <w:spacing w:before="1" w:line="267"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POR TANTO:</w:t>
      </w:r>
    </w:p>
    <w:p w:rsidR="00B42DB0" w:rsidRDefault="00C769D0">
      <w:pPr>
        <w:numPr>
          <w:ilvl w:val="0"/>
          <w:numId w:val="6"/>
        </w:numPr>
        <w:tabs>
          <w:tab w:val="right" w:pos="8064"/>
        </w:tabs>
        <w:kinsoku w:val="0"/>
        <w:overflowPunct w:val="0"/>
        <w:autoSpaceDE/>
        <w:autoSpaceDN/>
        <w:adjustRightInd/>
        <w:spacing w:before="268" w:line="279"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rechaza por extemporáneo el </w:t>
      </w:r>
      <w:r>
        <w:rPr>
          <w:sz w:val="19"/>
          <w:szCs w:val="19"/>
          <w:lang w:val="es-ES" w:eastAsia="es-ES"/>
        </w:rPr>
        <w:t>RECURSO DE APELACIÓN,</w:t>
      </w:r>
      <w:r>
        <w:rPr>
          <w:sz w:val="19"/>
          <w:szCs w:val="19"/>
          <w:lang w:val="es-ES" w:eastAsia="es-ES"/>
        </w:rPr>
        <w:br/>
      </w:r>
      <w:r>
        <w:rPr>
          <w:rFonts w:ascii="Verdana" w:hAnsi="Verdana" w:cs="Verdana"/>
          <w:sz w:val="22"/>
          <w:szCs w:val="22"/>
          <w:lang w:val="es-ES" w:eastAsia="es-ES"/>
        </w:rPr>
        <w:t xml:space="preserve">interpuesto por la empresa </w:t>
      </w:r>
      <w:r>
        <w:rPr>
          <w:rFonts w:ascii="Verdana" w:hAnsi="Verdana" w:cs="Verdana"/>
          <w:b/>
          <w:bCs/>
          <w:sz w:val="22"/>
          <w:szCs w:val="22"/>
          <w:lang w:val="es-ES" w:eastAsia="es-ES"/>
        </w:rPr>
        <w:t>T</w:t>
      </w:r>
      <w:r w:rsidR="00D37D59">
        <w:rPr>
          <w:rFonts w:ascii="Verdana" w:hAnsi="Verdana" w:cs="Verdana"/>
          <w:b/>
          <w:bCs/>
          <w:sz w:val="22"/>
          <w:szCs w:val="22"/>
          <w:lang w:val="es-ES" w:eastAsia="es-ES"/>
        </w:rPr>
        <w:t>.B.S.A.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jurídica número </w:t>
      </w:r>
      <w:r w:rsidR="00D37D59">
        <w:rPr>
          <w:rFonts w:ascii="Verdana" w:hAnsi="Verdana" w:cs="Verdana"/>
          <w:sz w:val="22"/>
          <w:szCs w:val="22"/>
          <w:lang w:val="es-ES" w:eastAsia="es-ES"/>
        </w:rPr>
        <w:t>…</w:t>
      </w:r>
      <w:r>
        <w:rPr>
          <w:rFonts w:ascii="Verdana" w:hAnsi="Verdana" w:cs="Verdana"/>
          <w:sz w:val="22"/>
          <w:szCs w:val="22"/>
          <w:lang w:val="es-ES" w:eastAsia="es-ES"/>
        </w:rPr>
        <w:t xml:space="preserve">, por medio de sus representantes, señor </w:t>
      </w:r>
      <w:r>
        <w:rPr>
          <w:rFonts w:ascii="Verdana" w:hAnsi="Verdana" w:cs="Verdana"/>
          <w:b/>
          <w:bCs/>
          <w:sz w:val="22"/>
          <w:szCs w:val="22"/>
          <w:lang w:val="es-ES" w:eastAsia="es-ES"/>
        </w:rPr>
        <w:t>C</w:t>
      </w:r>
      <w:r w:rsidR="00D37D59">
        <w:rPr>
          <w:rFonts w:ascii="Verdana" w:hAnsi="Verdana" w:cs="Verdana"/>
          <w:b/>
          <w:bCs/>
          <w:sz w:val="22"/>
          <w:szCs w:val="22"/>
          <w:lang w:val="es-ES" w:eastAsia="es-ES"/>
        </w:rPr>
        <w:t>.L.S.</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D37D59">
        <w:rPr>
          <w:rFonts w:ascii="Verdana" w:hAnsi="Verdana" w:cs="Verdana"/>
          <w:sz w:val="22"/>
          <w:szCs w:val="22"/>
          <w:lang w:val="es-ES" w:eastAsia="es-ES"/>
        </w:rPr>
        <w:t>…</w:t>
      </w:r>
      <w:r>
        <w:rPr>
          <w:rFonts w:ascii="Verdana" w:hAnsi="Verdana" w:cs="Verdana"/>
          <w:sz w:val="22"/>
          <w:szCs w:val="22"/>
          <w:lang w:val="es-ES" w:eastAsia="es-ES"/>
        </w:rPr>
        <w:t xml:space="preserve"> y la señora </w:t>
      </w:r>
      <w:r>
        <w:rPr>
          <w:rFonts w:ascii="Verdana" w:hAnsi="Verdana" w:cs="Verdana"/>
          <w:b/>
          <w:bCs/>
          <w:sz w:val="22"/>
          <w:szCs w:val="22"/>
          <w:lang w:val="es-ES" w:eastAsia="es-ES"/>
        </w:rPr>
        <w:t>M</w:t>
      </w:r>
      <w:r w:rsidR="00D37D59">
        <w:rPr>
          <w:rFonts w:ascii="Verdana" w:hAnsi="Verdana" w:cs="Verdana"/>
          <w:b/>
          <w:bCs/>
          <w:sz w:val="22"/>
          <w:szCs w:val="22"/>
          <w:lang w:val="es-ES" w:eastAsia="es-ES"/>
        </w:rPr>
        <w:t>.S.U.</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cedula de identidad número </w:t>
      </w:r>
      <w:r w:rsidR="00D37D59">
        <w:rPr>
          <w:rFonts w:ascii="Verdana" w:hAnsi="Verdana" w:cs="Verdana"/>
          <w:sz w:val="22"/>
          <w:szCs w:val="22"/>
          <w:lang w:val="es-ES" w:eastAsia="es-ES"/>
        </w:rPr>
        <w:t>…</w:t>
      </w:r>
      <w:r>
        <w:rPr>
          <w:rFonts w:ascii="Verdana" w:hAnsi="Verdana" w:cs="Verdana"/>
          <w:sz w:val="22"/>
          <w:szCs w:val="22"/>
          <w:lang w:val="es-ES" w:eastAsia="es-ES"/>
        </w:rPr>
        <w:t xml:space="preserve">, ambos en condición de Apoderados Generalísimos sin Límite de Suma, contra el acto dictado por la Junta Directiva del Consejo de Transporte Público, mediante Artículo Número </w:t>
      </w:r>
      <w:r>
        <w:rPr>
          <w:rFonts w:ascii="Verdana" w:hAnsi="Verdana" w:cs="Verdana"/>
          <w:b/>
          <w:bCs/>
          <w:sz w:val="22"/>
          <w:szCs w:val="22"/>
          <w:lang w:val="es-ES" w:eastAsia="es-ES"/>
        </w:rPr>
        <w:t xml:space="preserve">5.3 de la Sesión Ordinaria número 28-2014, </w:t>
      </w:r>
      <w:r>
        <w:rPr>
          <w:rFonts w:ascii="Verdana" w:hAnsi="Verdana" w:cs="Verdana"/>
          <w:sz w:val="22"/>
          <w:szCs w:val="22"/>
          <w:lang w:val="es-ES" w:eastAsia="es-ES"/>
        </w:rPr>
        <w:t>celebrada el 10 de abril de 2014.</w:t>
      </w:r>
    </w:p>
    <w:p w:rsidR="00B42DB0" w:rsidRDefault="00C769D0">
      <w:pPr>
        <w:numPr>
          <w:ilvl w:val="0"/>
          <w:numId w:val="7"/>
        </w:numPr>
        <w:kinsoku w:val="0"/>
        <w:overflowPunct w:val="0"/>
        <w:autoSpaceDE/>
        <w:autoSpaceDN/>
        <w:adjustRightInd/>
        <w:spacing w:before="280" w:line="279" w:lineRule="exact"/>
        <w:ind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Se rechaza por improcedente la Nulidad Absoluta invocada por la empresa </w:t>
      </w:r>
      <w:r>
        <w:rPr>
          <w:rFonts w:ascii="Verdana" w:hAnsi="Verdana" w:cs="Verdana"/>
          <w:b/>
          <w:bCs/>
          <w:spacing w:val="-1"/>
          <w:sz w:val="22"/>
          <w:szCs w:val="22"/>
          <w:lang w:val="es-ES" w:eastAsia="es-ES"/>
        </w:rPr>
        <w:t>T</w:t>
      </w:r>
      <w:r w:rsidR="00D37D59">
        <w:rPr>
          <w:rFonts w:ascii="Verdana" w:hAnsi="Verdana" w:cs="Verdana"/>
          <w:b/>
          <w:bCs/>
          <w:spacing w:val="-1"/>
          <w:sz w:val="22"/>
          <w:szCs w:val="22"/>
          <w:lang w:val="es-ES" w:eastAsia="es-ES"/>
        </w:rPr>
        <w:t>.B.S.A.</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cédula jurídica número </w:t>
      </w:r>
      <w:r w:rsidR="00D37D59">
        <w:rPr>
          <w:rFonts w:ascii="Verdana" w:hAnsi="Verdana" w:cs="Verdana"/>
          <w:spacing w:val="-1"/>
          <w:sz w:val="22"/>
          <w:szCs w:val="22"/>
          <w:lang w:val="es-ES" w:eastAsia="es-ES"/>
        </w:rPr>
        <w:t>…</w:t>
      </w:r>
      <w:r>
        <w:rPr>
          <w:rFonts w:ascii="Verdana" w:hAnsi="Verdana" w:cs="Verdana"/>
          <w:spacing w:val="-1"/>
          <w:sz w:val="22"/>
          <w:szCs w:val="22"/>
          <w:lang w:val="es-ES" w:eastAsia="es-ES"/>
        </w:rPr>
        <w:t xml:space="preserve">, por medio de sus representantes, señor </w:t>
      </w:r>
      <w:r>
        <w:rPr>
          <w:rFonts w:ascii="Verdana" w:hAnsi="Verdana" w:cs="Verdana"/>
          <w:b/>
          <w:bCs/>
          <w:spacing w:val="-1"/>
          <w:sz w:val="22"/>
          <w:szCs w:val="22"/>
          <w:lang w:val="es-ES" w:eastAsia="es-ES"/>
        </w:rPr>
        <w:t>C</w:t>
      </w:r>
      <w:r w:rsidR="00D37D59">
        <w:rPr>
          <w:rFonts w:ascii="Verdana" w:hAnsi="Verdana" w:cs="Verdana"/>
          <w:b/>
          <w:bCs/>
          <w:spacing w:val="-1"/>
          <w:sz w:val="22"/>
          <w:szCs w:val="22"/>
          <w:lang w:val="es-ES" w:eastAsia="es-ES"/>
        </w:rPr>
        <w:t>.L.S.</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cédula de identidad número </w:t>
      </w:r>
      <w:r w:rsidR="00D37D59">
        <w:rPr>
          <w:rFonts w:ascii="Verdana" w:hAnsi="Verdana" w:cs="Verdana"/>
          <w:spacing w:val="-1"/>
          <w:sz w:val="22"/>
          <w:szCs w:val="22"/>
          <w:lang w:val="es-ES" w:eastAsia="es-ES"/>
        </w:rPr>
        <w:t>… y la se</w:t>
      </w:r>
      <w:r>
        <w:rPr>
          <w:rFonts w:ascii="Verdana" w:hAnsi="Verdana" w:cs="Verdana"/>
          <w:spacing w:val="-1"/>
          <w:sz w:val="22"/>
          <w:szCs w:val="22"/>
          <w:lang w:val="es-ES" w:eastAsia="es-ES"/>
        </w:rPr>
        <w:t xml:space="preserve">ñora </w:t>
      </w:r>
      <w:r>
        <w:rPr>
          <w:rFonts w:ascii="Verdana" w:hAnsi="Verdana" w:cs="Verdana"/>
          <w:b/>
          <w:bCs/>
          <w:spacing w:val="-1"/>
          <w:sz w:val="22"/>
          <w:szCs w:val="22"/>
          <w:lang w:val="es-ES" w:eastAsia="es-ES"/>
        </w:rPr>
        <w:t>M</w:t>
      </w:r>
      <w:r w:rsidR="00D37D59">
        <w:rPr>
          <w:rFonts w:ascii="Verdana" w:hAnsi="Verdana" w:cs="Verdana"/>
          <w:b/>
          <w:bCs/>
          <w:spacing w:val="-1"/>
          <w:sz w:val="22"/>
          <w:szCs w:val="22"/>
          <w:lang w:val="es-ES" w:eastAsia="es-ES"/>
        </w:rPr>
        <w:t>.S.U.</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cedula de identidad número </w:t>
      </w:r>
      <w:r w:rsidR="00D37D59">
        <w:rPr>
          <w:rFonts w:ascii="Verdana" w:hAnsi="Verdana" w:cs="Verdana"/>
          <w:spacing w:val="-1"/>
          <w:sz w:val="22"/>
          <w:szCs w:val="22"/>
          <w:lang w:val="es-ES" w:eastAsia="es-ES"/>
        </w:rPr>
        <w:t>…</w:t>
      </w:r>
      <w:r>
        <w:rPr>
          <w:rFonts w:ascii="Verdana" w:hAnsi="Verdana" w:cs="Verdana"/>
          <w:spacing w:val="-1"/>
          <w:sz w:val="22"/>
          <w:szCs w:val="22"/>
          <w:lang w:val="es-ES" w:eastAsia="es-ES"/>
        </w:rPr>
        <w:t xml:space="preserve">, ambos en condición de Apoderados Generalísimos sin Límite de Suma, contra el acto dictado por la Junta Directiva del Consejo de Transporte Público, mediante Artículo Número </w:t>
      </w:r>
      <w:r>
        <w:rPr>
          <w:rFonts w:ascii="Verdana" w:hAnsi="Verdana" w:cs="Verdana"/>
          <w:b/>
          <w:bCs/>
          <w:spacing w:val="-1"/>
          <w:sz w:val="22"/>
          <w:szCs w:val="22"/>
          <w:lang w:val="es-ES" w:eastAsia="es-ES"/>
        </w:rPr>
        <w:t xml:space="preserve">5.3 de la Sesión Ordinaria número 28-2014, </w:t>
      </w:r>
      <w:r>
        <w:rPr>
          <w:rFonts w:ascii="Verdana" w:hAnsi="Verdana" w:cs="Verdana"/>
          <w:spacing w:val="-1"/>
          <w:sz w:val="22"/>
          <w:szCs w:val="22"/>
          <w:lang w:val="es-ES" w:eastAsia="es-ES"/>
        </w:rPr>
        <w:t>celebrada el 10 de abril de 2014.</w:t>
      </w:r>
    </w:p>
    <w:p w:rsidR="00B42DB0" w:rsidRPr="00D37D59" w:rsidRDefault="00C769D0">
      <w:pPr>
        <w:numPr>
          <w:ilvl w:val="0"/>
          <w:numId w:val="8"/>
        </w:numPr>
        <w:kinsoku w:val="0"/>
        <w:overflowPunct w:val="0"/>
        <w:autoSpaceDE/>
        <w:autoSpaceDN/>
        <w:adjustRightInd/>
        <w:spacing w:before="284" w:after="153" w:line="273" w:lineRule="exact"/>
        <w:ind w:right="72"/>
        <w:jc w:val="both"/>
        <w:textAlignment w:val="baseline"/>
        <w:rPr>
          <w:rFonts w:ascii="Verdana" w:hAnsi="Verdana" w:cs="Verdana"/>
          <w:sz w:val="24"/>
          <w:szCs w:val="24"/>
          <w:lang w:eastAsia="en-US"/>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NOTIFÍQUESE.</w:t>
      </w:r>
      <w:r>
        <w:rPr>
          <w:rFonts w:ascii="Verdana" w:hAnsi="Verdana" w:cs="Verdana"/>
          <w:b/>
          <w:bCs/>
          <w:sz w:val="22"/>
          <w:szCs w:val="22"/>
          <w:lang w:val="es-ES" w:eastAsia="es-ES"/>
        </w:rPr>
        <w:noBreakHyphen/>
      </w:r>
    </w:p>
    <w:p w:rsidR="00D37D59" w:rsidRPr="00A64296" w:rsidRDefault="00D37D59" w:rsidP="00D37D59">
      <w:pPr>
        <w:kinsoku w:val="0"/>
        <w:overflowPunct w:val="0"/>
        <w:autoSpaceDE/>
        <w:autoSpaceDN/>
        <w:adjustRightInd/>
        <w:spacing w:before="329" w:after="374" w:line="320" w:lineRule="exact"/>
        <w:ind w:left="72" w:right="72"/>
        <w:jc w:val="center"/>
        <w:textAlignment w:val="baseline"/>
        <w:rPr>
          <w:spacing w:val="12"/>
          <w:sz w:val="24"/>
          <w:szCs w:val="23"/>
        </w:rPr>
      </w:pPr>
      <w:r w:rsidRPr="00A64296">
        <w:rPr>
          <w:spacing w:val="12"/>
          <w:sz w:val="24"/>
          <w:szCs w:val="23"/>
          <w:lang w:val="es-ES" w:eastAsia="es-ES"/>
        </w:rPr>
        <w:t>Lic. Carlos Miguel Portuguez Méndez</w:t>
      </w:r>
    </w:p>
    <w:p w:rsidR="00D37D59" w:rsidRPr="00A64296" w:rsidRDefault="00D37D59" w:rsidP="00D37D59">
      <w:pPr>
        <w:pStyle w:val="Style1"/>
        <w:kinsoku w:val="0"/>
        <w:overflowPunct w:val="0"/>
        <w:autoSpaceDE/>
        <w:autoSpaceDN/>
        <w:adjustRightInd/>
        <w:spacing w:before="204" w:after="301" w:line="288" w:lineRule="exact"/>
        <w:ind w:left="72"/>
        <w:jc w:val="center"/>
        <w:textAlignment w:val="baseline"/>
        <w:rPr>
          <w:rStyle w:val="CharacterStyle1"/>
          <w:b/>
          <w:iCs/>
          <w:spacing w:val="5"/>
          <w:sz w:val="28"/>
        </w:rPr>
      </w:pPr>
      <w:r w:rsidRPr="00A64296">
        <w:rPr>
          <w:rStyle w:val="CharacterStyle1"/>
          <w:b/>
          <w:iCs/>
          <w:spacing w:val="5"/>
          <w:sz w:val="28"/>
        </w:rPr>
        <w:t>P</w:t>
      </w:r>
      <w:r>
        <w:rPr>
          <w:rStyle w:val="CharacterStyle1"/>
          <w:b/>
          <w:iCs/>
          <w:spacing w:val="5"/>
          <w:sz w:val="28"/>
        </w:rPr>
        <w:t>residente</w:t>
      </w:r>
      <w:r w:rsidRPr="00A64296">
        <w:rPr>
          <w:rStyle w:val="CharacterStyle1"/>
          <w:b/>
          <w:iCs/>
          <w:spacing w:val="5"/>
          <w:sz w:val="28"/>
        </w:rPr>
        <w:t xml:space="preserve"> </w:t>
      </w:r>
    </w:p>
    <w:p w:rsidR="00D37D59" w:rsidRPr="00A64296" w:rsidRDefault="00D37D59" w:rsidP="00D37D59">
      <w:pPr>
        <w:tabs>
          <w:tab w:val="left" w:pos="720"/>
        </w:tabs>
        <w:kinsoku w:val="0"/>
        <w:overflowPunct w:val="0"/>
        <w:autoSpaceDE/>
        <w:autoSpaceDN/>
        <w:adjustRightInd/>
        <w:spacing w:before="326" w:line="323" w:lineRule="exact"/>
        <w:ind w:left="72" w:right="360"/>
        <w:jc w:val="center"/>
        <w:textAlignment w:val="baseline"/>
        <w:rPr>
          <w:sz w:val="36"/>
          <w:szCs w:val="24"/>
        </w:rPr>
      </w:pPr>
      <w:proofErr w:type="spellStart"/>
      <w:r w:rsidRPr="00A64296">
        <w:rPr>
          <w:rStyle w:val="CharacterStyle1"/>
          <w:iCs/>
          <w:spacing w:val="5"/>
          <w:sz w:val="28"/>
        </w:rPr>
        <w:t>Licda</w:t>
      </w:r>
      <w:proofErr w:type="spellEnd"/>
      <w:r w:rsidRPr="00A64296">
        <w:rPr>
          <w:rStyle w:val="CharacterStyle1"/>
          <w:iCs/>
          <w:spacing w:val="5"/>
          <w:sz w:val="28"/>
        </w:rPr>
        <w:t xml:space="preserve">. Marta Luz Pérez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Pr>
          <w:rStyle w:val="CharacterStyle1"/>
          <w:iCs/>
          <w:spacing w:val="5"/>
          <w:sz w:val="28"/>
        </w:rPr>
        <w:t xml:space="preserve">    </w:t>
      </w:r>
      <w:r w:rsidRPr="00A64296">
        <w:rPr>
          <w:rStyle w:val="CharacterStyle1"/>
          <w:iCs/>
          <w:spacing w:val="5"/>
          <w:sz w:val="28"/>
        </w:rPr>
        <w:t xml:space="preserve">     </w:t>
      </w:r>
      <w:proofErr w:type="spellStart"/>
      <w:r w:rsidRPr="00A64296">
        <w:rPr>
          <w:rStyle w:val="CharacterStyle1"/>
          <w:iCs/>
          <w:spacing w:val="5"/>
          <w:sz w:val="28"/>
        </w:rPr>
        <w:t>Lic</w:t>
      </w:r>
      <w:proofErr w:type="spellEnd"/>
      <w:r w:rsidRPr="00A64296">
        <w:rPr>
          <w:rStyle w:val="CharacterStyle1"/>
          <w:iCs/>
          <w:spacing w:val="5"/>
          <w:sz w:val="28"/>
        </w:rPr>
        <w:t xml:space="preserve">. Mario Quesada Aguirre </w:t>
      </w:r>
      <w:r w:rsidRPr="00A64296">
        <w:rPr>
          <w:rStyle w:val="CharacterStyle1"/>
          <w:rFonts w:ascii="Verdana" w:hAnsi="Verdana"/>
          <w:b/>
          <w:i/>
          <w:iCs/>
          <w:spacing w:val="5"/>
          <w:sz w:val="22"/>
        </w:rPr>
        <w:t xml:space="preserve">             </w:t>
      </w:r>
      <w:proofErr w:type="spellStart"/>
      <w:r>
        <w:rPr>
          <w:rStyle w:val="CharacterStyle1"/>
          <w:b/>
          <w:iCs/>
          <w:spacing w:val="5"/>
          <w:sz w:val="28"/>
        </w:rPr>
        <w:t>Jueza</w:t>
      </w:r>
      <w:proofErr w:type="spellEnd"/>
      <w:r>
        <w:rPr>
          <w:rStyle w:val="CharacterStyle1"/>
          <w:b/>
          <w:iCs/>
          <w:spacing w:val="5"/>
          <w:sz w:val="28"/>
        </w:rPr>
        <w:t xml:space="preserve"> </w:t>
      </w:r>
      <w:r>
        <w:rPr>
          <w:rStyle w:val="CharacterStyle1"/>
          <w:b/>
          <w:iCs/>
          <w:spacing w:val="5"/>
          <w:sz w:val="28"/>
        </w:rPr>
        <w:tab/>
        <w:t xml:space="preserve"> </w:t>
      </w:r>
      <w:r>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w:t>
      </w:r>
      <w:proofErr w:type="spellStart"/>
      <w:r w:rsidRPr="00A64296">
        <w:rPr>
          <w:rStyle w:val="CharacterStyle1"/>
          <w:b/>
          <w:iCs/>
          <w:spacing w:val="5"/>
          <w:sz w:val="28"/>
        </w:rPr>
        <w:t>J</w:t>
      </w:r>
      <w:r>
        <w:rPr>
          <w:rStyle w:val="CharacterStyle1"/>
          <w:b/>
          <w:iCs/>
          <w:spacing w:val="5"/>
          <w:sz w:val="28"/>
        </w:rPr>
        <w:t>uez</w:t>
      </w:r>
      <w:proofErr w:type="spellEnd"/>
    </w:p>
    <w:p w:rsidR="00D37D59" w:rsidRDefault="00D37D59" w:rsidP="00D37D59">
      <w:pPr>
        <w:kinsoku w:val="0"/>
        <w:overflowPunct w:val="0"/>
        <w:autoSpaceDE/>
        <w:autoSpaceDN/>
        <w:adjustRightInd/>
        <w:spacing w:before="284" w:after="153" w:line="273" w:lineRule="exact"/>
        <w:ind w:right="72"/>
        <w:jc w:val="both"/>
        <w:textAlignment w:val="baseline"/>
        <w:rPr>
          <w:rFonts w:ascii="Verdana" w:hAnsi="Verdana" w:cs="Verdana"/>
          <w:sz w:val="24"/>
          <w:szCs w:val="24"/>
          <w:lang w:eastAsia="en-US"/>
        </w:rPr>
      </w:pPr>
    </w:p>
    <w:p w:rsidR="00C769D0" w:rsidRDefault="00C769D0">
      <w:pPr>
        <w:tabs>
          <w:tab w:val="right" w:pos="8064"/>
        </w:tabs>
        <w:kinsoku w:val="0"/>
        <w:overflowPunct w:val="0"/>
        <w:autoSpaceDE/>
        <w:autoSpaceDN/>
        <w:adjustRightInd/>
        <w:spacing w:before="2" w:line="218" w:lineRule="exact"/>
        <w:ind w:left="6192"/>
        <w:textAlignment w:val="baseline"/>
        <w:rPr>
          <w:sz w:val="19"/>
          <w:szCs w:val="19"/>
          <w:lang w:val="es-ES" w:eastAsia="es-ES"/>
        </w:rPr>
      </w:pPr>
    </w:p>
    <w:sectPr w:rsidR="00C769D0">
      <w:pgSz w:w="12134" w:h="15840"/>
      <w:pgMar w:top="1900" w:right="1883" w:bottom="210" w:left="20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7D3B"/>
    <w:multiLevelType w:val="singleLevel"/>
    <w:tmpl w:val="66FCD11B"/>
    <w:lvl w:ilvl="0">
      <w:start w:val="1"/>
      <w:numFmt w:val="lowerLetter"/>
      <w:lvlText w:val="%1)-"/>
      <w:lvlJc w:val="left"/>
      <w:pPr>
        <w:tabs>
          <w:tab w:val="num" w:pos="720"/>
        </w:tabs>
        <w:ind w:left="72"/>
      </w:pPr>
      <w:rPr>
        <w:rFonts w:ascii="Verdana" w:hAnsi="Verdana" w:cs="Verdana"/>
        <w:snapToGrid/>
        <w:sz w:val="22"/>
        <w:szCs w:val="22"/>
      </w:rPr>
    </w:lvl>
  </w:abstractNum>
  <w:abstractNum w:abstractNumId="1" w15:restartNumberingAfterBreak="0">
    <w:nsid w:val="02C21D56"/>
    <w:multiLevelType w:val="singleLevel"/>
    <w:tmpl w:val="6397CDC5"/>
    <w:lvl w:ilvl="0">
      <w:start w:val="2"/>
      <w:numFmt w:val="decimal"/>
      <w:lvlText w:val="%1.-"/>
      <w:lvlJc w:val="left"/>
      <w:pPr>
        <w:tabs>
          <w:tab w:val="num" w:pos="720"/>
        </w:tabs>
        <w:ind w:left="432"/>
      </w:pPr>
      <w:rPr>
        <w:rFonts w:ascii="Verdana" w:hAnsi="Verdana" w:cs="Verdana"/>
        <w:i/>
        <w:iCs/>
        <w:snapToGrid/>
        <w:sz w:val="15"/>
        <w:szCs w:val="15"/>
      </w:rPr>
    </w:lvl>
  </w:abstractNum>
  <w:abstractNum w:abstractNumId="2" w15:restartNumberingAfterBreak="0">
    <w:nsid w:val="040CD858"/>
    <w:multiLevelType w:val="singleLevel"/>
    <w:tmpl w:val="C6065076"/>
    <w:lvl w:ilvl="0">
      <w:start w:val="1"/>
      <w:numFmt w:val="upperRoman"/>
      <w:lvlText w:val="%1.-"/>
      <w:lvlJc w:val="left"/>
      <w:pPr>
        <w:tabs>
          <w:tab w:val="num" w:pos="864"/>
        </w:tabs>
        <w:ind w:left="72"/>
      </w:pPr>
      <w:rPr>
        <w:rFonts w:ascii="Verdana" w:hAnsi="Verdana" w:cs="Verdana"/>
        <w:b/>
        <w:snapToGrid/>
        <w:sz w:val="22"/>
        <w:szCs w:val="22"/>
      </w:rPr>
    </w:lvl>
  </w:abstractNum>
  <w:abstractNum w:abstractNumId="3" w15:restartNumberingAfterBreak="0">
    <w:nsid w:val="059FFB45"/>
    <w:multiLevelType w:val="singleLevel"/>
    <w:tmpl w:val="0B814A30"/>
    <w:lvl w:ilvl="0">
      <w:start w:val="4"/>
      <w:numFmt w:val="lowerLetter"/>
      <w:lvlText w:val="%1)-"/>
      <w:lvlJc w:val="left"/>
      <w:pPr>
        <w:tabs>
          <w:tab w:val="num" w:pos="576"/>
        </w:tabs>
        <w:ind w:left="72"/>
      </w:pPr>
      <w:rPr>
        <w:rFonts w:ascii="Verdana" w:hAnsi="Verdana" w:cs="Verdana"/>
        <w:snapToGrid/>
        <w:spacing w:val="3"/>
        <w:sz w:val="22"/>
        <w:szCs w:val="22"/>
      </w:rPr>
    </w:lvl>
  </w:abstractNum>
  <w:num w:numId="1">
    <w:abstractNumId w:val="1"/>
  </w:num>
  <w:num w:numId="2">
    <w:abstractNumId w:val="0"/>
  </w:num>
  <w:num w:numId="3">
    <w:abstractNumId w:val="0"/>
    <w:lvlOverride w:ilvl="0">
      <w:lvl w:ilvl="0">
        <w:numFmt w:val="lowerLetter"/>
        <w:lvlText w:val="%1)-"/>
        <w:lvlJc w:val="left"/>
        <w:pPr>
          <w:tabs>
            <w:tab w:val="num" w:pos="432"/>
          </w:tabs>
          <w:ind w:left="72"/>
        </w:pPr>
        <w:rPr>
          <w:rFonts w:ascii="Verdana" w:hAnsi="Verdana" w:cs="Verdana"/>
          <w:snapToGrid/>
          <w:spacing w:val="4"/>
          <w:sz w:val="22"/>
          <w:szCs w:val="22"/>
        </w:rPr>
      </w:lvl>
    </w:lvlOverride>
  </w:num>
  <w:num w:numId="4">
    <w:abstractNumId w:val="3"/>
  </w:num>
  <w:num w:numId="5">
    <w:abstractNumId w:val="3"/>
    <w:lvlOverride w:ilvl="0">
      <w:lvl w:ilvl="0">
        <w:numFmt w:val="lowerLetter"/>
        <w:lvlText w:val="%1)-"/>
        <w:lvlJc w:val="left"/>
        <w:pPr>
          <w:tabs>
            <w:tab w:val="num" w:pos="576"/>
          </w:tabs>
          <w:ind w:left="72"/>
        </w:pPr>
        <w:rPr>
          <w:rFonts w:ascii="Verdana" w:hAnsi="Verdana" w:cs="Verdana"/>
          <w:b/>
          <w:bCs/>
          <w:snapToGrid/>
          <w:sz w:val="22"/>
          <w:szCs w:val="22"/>
          <w:u w:val="single"/>
        </w:rPr>
      </w:lvl>
    </w:lvlOverride>
  </w:num>
  <w:num w:numId="6">
    <w:abstractNumId w:val="2"/>
  </w:num>
  <w:num w:numId="7">
    <w:abstractNumId w:val="2"/>
    <w:lvlOverride w:ilvl="0">
      <w:lvl w:ilvl="0">
        <w:numFmt w:val="upperRoman"/>
        <w:lvlText w:val="%1.-"/>
        <w:lvlJc w:val="left"/>
        <w:pPr>
          <w:tabs>
            <w:tab w:val="num" w:pos="648"/>
          </w:tabs>
          <w:ind w:left="72"/>
        </w:pPr>
        <w:rPr>
          <w:rFonts w:ascii="Verdana" w:hAnsi="Verdana" w:cs="Verdana"/>
          <w:b/>
          <w:snapToGrid/>
          <w:spacing w:val="-1"/>
          <w:sz w:val="22"/>
          <w:szCs w:val="22"/>
        </w:rPr>
      </w:lvl>
    </w:lvlOverride>
  </w:num>
  <w:num w:numId="8">
    <w:abstractNumId w:val="2"/>
    <w:lvlOverride w:ilvl="0">
      <w:lvl w:ilvl="0">
        <w:numFmt w:val="upperRoman"/>
        <w:lvlText w:val="%1.-"/>
        <w:lvlJc w:val="left"/>
        <w:pPr>
          <w:tabs>
            <w:tab w:val="num" w:pos="792"/>
          </w:tabs>
          <w:ind w:left="72"/>
        </w:pPr>
        <w:rPr>
          <w:rFonts w:ascii="Verdana" w:hAnsi="Verdana" w:cs="Verdan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85"/>
    <w:rsid w:val="00377B85"/>
    <w:rsid w:val="00874F43"/>
    <w:rsid w:val="00B42DB0"/>
    <w:rsid w:val="00C769D0"/>
    <w:rsid w:val="00D37D5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3FA9D0-55D2-42D6-A2A6-15B8C34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7D59"/>
    <w:rPr>
      <w:color w:val="0000FF" w:themeColor="hyperlink"/>
      <w:u w:val="single"/>
    </w:rPr>
  </w:style>
  <w:style w:type="paragraph" w:customStyle="1" w:styleId="Style1">
    <w:name w:val="Style 1"/>
    <w:basedOn w:val="Normal"/>
    <w:uiPriority w:val="99"/>
    <w:rsid w:val="00D37D59"/>
    <w:rPr>
      <w:lang w:val="es-CR"/>
    </w:rPr>
  </w:style>
  <w:style w:type="character" w:customStyle="1" w:styleId="CharacterStyle1">
    <w:name w:val="Character Style 1"/>
    <w:uiPriority w:val="99"/>
    <w:rsid w:val="00D37D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ice.c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8763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2019-08-26T18:39:00Z</dcterms:created>
  <dcterms:modified xsi:type="dcterms:W3CDTF">2019-08-26T18:39:00Z</dcterms:modified>
</cp:coreProperties>
</file>